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31F803">
      <w:pPr>
        <w:pStyle w:val="11"/>
        <w:spacing w:before="3" w:line="360" w:lineRule="auto"/>
        <w:rPr>
          <w:rFonts w:ascii="Times New Roman"/>
          <w:color w:val="auto"/>
          <w:sz w:val="10"/>
          <w:highlight w:val="none"/>
        </w:rPr>
      </w:pPr>
    </w:p>
    <w:p w14:paraId="61B9D15A">
      <w:pPr>
        <w:spacing w:before="33" w:line="360" w:lineRule="auto"/>
        <w:ind w:left="719" w:leftChars="327" w:right="-493" w:rightChars="-224" w:firstLine="400" w:firstLineChars="200"/>
        <w:rPr>
          <w:b/>
          <w:color w:val="auto"/>
          <w:sz w:val="48"/>
          <w:highlight w:val="none"/>
        </w:rPr>
      </w:pPr>
      <w:r>
        <w:rPr>
          <w:rFonts w:ascii="Times New Roman"/>
          <w:color w:val="auto"/>
          <w:sz w:val="20"/>
          <w:highlight w:val="none"/>
          <w:lang w:val="en-US" w:bidi="ar-SA"/>
        </w:rPr>
        <w:drawing>
          <wp:anchor distT="0" distB="0" distL="0" distR="0" simplePos="0" relativeHeight="251659264" behindDoc="0" locked="0" layoutInCell="1" allowOverlap="1">
            <wp:simplePos x="0" y="0"/>
            <wp:positionH relativeFrom="column">
              <wp:posOffset>-146050</wp:posOffset>
            </wp:positionH>
            <wp:positionV relativeFrom="paragraph">
              <wp:posOffset>6350</wp:posOffset>
            </wp:positionV>
            <wp:extent cx="829310" cy="809625"/>
            <wp:effectExtent l="0" t="0" r="8890" b="9525"/>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a:stretch>
                      <a:fillRect/>
                    </a:stretch>
                  </pic:blipFill>
                  <pic:spPr>
                    <a:xfrm>
                      <a:off x="0" y="0"/>
                      <a:ext cx="829310" cy="809625"/>
                    </a:xfrm>
                    <a:prstGeom prst="rect">
                      <a:avLst/>
                    </a:prstGeom>
                    <a:noFill/>
                    <a:ln>
                      <a:noFill/>
                    </a:ln>
                  </pic:spPr>
                </pic:pic>
              </a:graphicData>
            </a:graphic>
          </wp:anchor>
        </w:drawing>
      </w:r>
      <w:r>
        <w:rPr>
          <w:b/>
          <w:color w:val="auto"/>
          <w:sz w:val="48"/>
          <w:highlight w:val="none"/>
        </w:rPr>
        <w:t>广西瑞真工程造价咨询有限责任公司</w:t>
      </w:r>
    </w:p>
    <w:p w14:paraId="339E1C42">
      <w:pPr>
        <w:spacing w:before="73" w:line="360" w:lineRule="auto"/>
        <w:ind w:right="88" w:rightChars="40"/>
        <w:jc w:val="distribute"/>
        <w:rPr>
          <w:b/>
          <w:color w:val="auto"/>
          <w:sz w:val="32"/>
          <w:highlight w:val="none"/>
          <w:u w:val="single"/>
          <w:lang w:val="en-US"/>
        </w:rPr>
      </w:pPr>
      <w:r>
        <w:rPr>
          <w:b/>
          <w:color w:val="auto"/>
          <w:sz w:val="32"/>
          <w:highlight w:val="none"/>
          <w:u w:val="single"/>
          <w:lang w:val="en-US"/>
        </w:rPr>
        <w:t>GuangxiRuizhen Construction Cost Consulting Co.,Ltd</w:t>
      </w:r>
    </w:p>
    <w:p w14:paraId="34605822">
      <w:pPr>
        <w:spacing w:before="73" w:line="360" w:lineRule="auto"/>
        <w:rPr>
          <w:b/>
          <w:color w:val="auto"/>
          <w:sz w:val="32"/>
          <w:highlight w:val="none"/>
          <w:u w:val="single"/>
          <w:lang w:val="en-US"/>
        </w:rPr>
      </w:pPr>
    </w:p>
    <w:p w14:paraId="78F925FE">
      <w:pPr>
        <w:pStyle w:val="13"/>
        <w:spacing w:line="360" w:lineRule="auto"/>
        <w:rPr>
          <w:rFonts w:ascii="楷体" w:hAnsi="楷体" w:eastAsia="楷体" w:cs="宋体"/>
          <w:b/>
          <w:color w:val="auto"/>
          <w:spacing w:val="-20"/>
          <w:sz w:val="72"/>
          <w:szCs w:val="72"/>
          <w:highlight w:val="none"/>
          <w:lang w:val="en-US"/>
        </w:rPr>
      </w:pPr>
    </w:p>
    <w:p w14:paraId="33407E66">
      <w:pPr>
        <w:rPr>
          <w:color w:val="auto"/>
          <w:lang w:val="en-US"/>
        </w:rPr>
      </w:pPr>
    </w:p>
    <w:p w14:paraId="70E35A82">
      <w:pPr>
        <w:rPr>
          <w:color w:val="auto"/>
          <w:lang w:val="en-US"/>
        </w:rPr>
      </w:pPr>
    </w:p>
    <w:p w14:paraId="02D4F7C4">
      <w:pPr>
        <w:rPr>
          <w:color w:val="auto"/>
          <w:lang w:val="en-US"/>
        </w:rPr>
      </w:pPr>
    </w:p>
    <w:p w14:paraId="43F55705">
      <w:pPr>
        <w:bidi w:val="0"/>
        <w:jc w:val="center"/>
        <w:rPr>
          <w:b/>
          <w:bCs/>
          <w:color w:val="auto"/>
          <w:sz w:val="72"/>
          <w:szCs w:val="72"/>
        </w:rPr>
      </w:pPr>
      <w:r>
        <w:rPr>
          <w:rFonts w:hint="eastAsia"/>
          <w:b/>
          <w:bCs/>
          <w:color w:val="auto"/>
          <w:sz w:val="72"/>
          <w:szCs w:val="72"/>
        </w:rPr>
        <w:t>竞争性磋商采购文件</w:t>
      </w:r>
    </w:p>
    <w:p w14:paraId="440121EC">
      <w:pPr>
        <w:pStyle w:val="13"/>
        <w:spacing w:line="360" w:lineRule="auto"/>
        <w:ind w:firstLine="840" w:firstLineChars="300"/>
        <w:rPr>
          <w:color w:val="auto"/>
          <w:sz w:val="28"/>
          <w:szCs w:val="22"/>
          <w:highlight w:val="none"/>
        </w:rPr>
      </w:pPr>
    </w:p>
    <w:p w14:paraId="4AAFC426">
      <w:pPr>
        <w:rPr>
          <w:color w:val="auto"/>
          <w:sz w:val="28"/>
          <w:szCs w:val="22"/>
          <w:highlight w:val="none"/>
        </w:rPr>
      </w:pPr>
    </w:p>
    <w:p w14:paraId="1BEC988E">
      <w:pPr>
        <w:pStyle w:val="2"/>
        <w:rPr>
          <w:color w:val="auto"/>
          <w:sz w:val="28"/>
          <w:szCs w:val="22"/>
          <w:highlight w:val="none"/>
        </w:rPr>
      </w:pPr>
    </w:p>
    <w:p w14:paraId="4D3EFD20">
      <w:pPr>
        <w:rPr>
          <w:color w:val="auto"/>
        </w:rPr>
      </w:pPr>
    </w:p>
    <w:p w14:paraId="2E7D280C">
      <w:pPr>
        <w:rPr>
          <w:color w:val="auto"/>
        </w:rPr>
      </w:pPr>
    </w:p>
    <w:p w14:paraId="1DE9D796">
      <w:pPr>
        <w:pStyle w:val="13"/>
        <w:spacing w:line="360" w:lineRule="auto"/>
        <w:rPr>
          <w:color w:val="auto"/>
          <w:sz w:val="28"/>
          <w:szCs w:val="22"/>
          <w:highlight w:val="none"/>
        </w:rPr>
      </w:pPr>
    </w:p>
    <w:p w14:paraId="39948577">
      <w:pPr>
        <w:pStyle w:val="13"/>
        <w:spacing w:line="360" w:lineRule="auto"/>
        <w:ind w:left="2238" w:leftChars="381" w:hanging="1400" w:hangingChars="500"/>
        <w:rPr>
          <w:rFonts w:hint="default" w:ascii="宋体" w:hAnsi="宋体" w:eastAsia="宋体" w:cs="Courier New"/>
          <w:color w:val="auto"/>
          <w:sz w:val="28"/>
          <w:szCs w:val="22"/>
          <w:highlight w:val="none"/>
          <w:lang w:val="en-US" w:eastAsia="zh-CN"/>
        </w:rPr>
      </w:pPr>
      <w:r>
        <w:rPr>
          <w:rFonts w:hint="eastAsia"/>
          <w:color w:val="auto"/>
          <w:sz w:val="28"/>
          <w:szCs w:val="22"/>
          <w:highlight w:val="none"/>
          <w:lang w:val="en-US"/>
        </w:rPr>
        <w:t>项目名称</w:t>
      </w:r>
      <w:r>
        <w:rPr>
          <w:rFonts w:hint="eastAsia"/>
          <w:color w:val="auto"/>
          <w:sz w:val="28"/>
          <w:szCs w:val="22"/>
          <w:highlight w:val="none"/>
          <w:lang w:val="en-US" w:eastAsia="zh-CN"/>
        </w:rPr>
        <w:t>：</w:t>
      </w:r>
      <w:r>
        <w:rPr>
          <w:rFonts w:hint="eastAsia" w:hAnsi="宋体" w:cs="Courier New"/>
          <w:color w:val="auto"/>
          <w:sz w:val="28"/>
          <w:szCs w:val="22"/>
          <w:highlight w:val="none"/>
          <w:lang w:val="en-US" w:eastAsia="zh-CN"/>
        </w:rPr>
        <w:t>2025—2026年度北海市区控市级环境空气和大气降水自动监测站运行维护服务</w:t>
      </w:r>
    </w:p>
    <w:p w14:paraId="3278F970">
      <w:pPr>
        <w:pStyle w:val="13"/>
        <w:spacing w:line="360" w:lineRule="auto"/>
        <w:ind w:firstLine="840" w:firstLineChars="300"/>
        <w:rPr>
          <w:rFonts w:hint="default"/>
          <w:color w:val="auto"/>
          <w:sz w:val="28"/>
          <w:szCs w:val="22"/>
          <w:highlight w:val="none"/>
          <w:lang w:val="en-US"/>
        </w:rPr>
      </w:pPr>
      <w:r>
        <w:rPr>
          <w:rFonts w:hint="eastAsia"/>
          <w:color w:val="auto"/>
          <w:sz w:val="28"/>
          <w:szCs w:val="22"/>
          <w:highlight w:val="none"/>
          <w:lang w:val="en-US"/>
        </w:rPr>
        <w:t>项目编号：</w:t>
      </w:r>
      <w:r>
        <w:rPr>
          <w:rFonts w:hint="eastAsia" w:hAnsi="宋体" w:cs="Courier New"/>
          <w:color w:val="auto"/>
          <w:sz w:val="28"/>
          <w:szCs w:val="22"/>
          <w:highlight w:val="none"/>
          <w:lang w:val="en-US" w:eastAsia="zh-CN"/>
        </w:rPr>
        <w:t>GXRZBH-2025-008</w:t>
      </w:r>
    </w:p>
    <w:p w14:paraId="3CA30654">
      <w:pPr>
        <w:pStyle w:val="13"/>
        <w:spacing w:line="360" w:lineRule="auto"/>
        <w:ind w:firstLine="840" w:firstLineChars="300"/>
        <w:rPr>
          <w:color w:val="auto"/>
          <w:sz w:val="28"/>
          <w:szCs w:val="22"/>
          <w:highlight w:val="none"/>
        </w:rPr>
      </w:pPr>
      <w:r>
        <w:rPr>
          <w:rFonts w:hint="eastAsia"/>
          <w:color w:val="auto"/>
          <w:sz w:val="28"/>
          <w:highlight w:val="none"/>
        </w:rPr>
        <w:t>采购单位：</w:t>
      </w:r>
      <w:r>
        <w:rPr>
          <w:rFonts w:hint="eastAsia" w:hAnsi="宋体" w:cs="Courier New"/>
          <w:color w:val="auto"/>
          <w:sz w:val="28"/>
          <w:szCs w:val="22"/>
          <w:highlight w:val="none"/>
          <w:lang w:val="en-US" w:eastAsia="zh-CN"/>
        </w:rPr>
        <w:t>广西壮族自治区北海生态环境监测中心</w:t>
      </w:r>
    </w:p>
    <w:p w14:paraId="6CE04E22">
      <w:pPr>
        <w:pStyle w:val="13"/>
        <w:spacing w:line="360" w:lineRule="auto"/>
        <w:rPr>
          <w:color w:val="auto"/>
          <w:sz w:val="28"/>
          <w:highlight w:val="none"/>
          <w:u w:val="single"/>
        </w:rPr>
      </w:pPr>
      <w:r>
        <w:rPr>
          <w:rFonts w:hint="eastAsia"/>
          <w:color w:val="auto"/>
          <w:sz w:val="28"/>
          <w:highlight w:val="none"/>
          <w:u w:val="single"/>
        </w:rPr>
        <w:t xml:space="preserve">　　　　　　　　　　　　　　　　　　　　　　　　　　　　　　　　    </w:t>
      </w:r>
    </w:p>
    <w:p w14:paraId="0E02E580">
      <w:pPr>
        <w:pStyle w:val="13"/>
        <w:spacing w:line="360" w:lineRule="auto"/>
        <w:ind w:firstLine="840" w:firstLineChars="300"/>
        <w:rPr>
          <w:color w:val="auto"/>
          <w:sz w:val="28"/>
          <w:szCs w:val="22"/>
          <w:highlight w:val="none"/>
        </w:rPr>
      </w:pPr>
    </w:p>
    <w:p w14:paraId="554810ED">
      <w:pPr>
        <w:pStyle w:val="13"/>
        <w:spacing w:line="360" w:lineRule="auto"/>
        <w:ind w:left="0" w:leftChars="0" w:firstLine="0" w:firstLineChars="0"/>
        <w:jc w:val="center"/>
        <w:rPr>
          <w:rFonts w:hint="eastAsia"/>
          <w:color w:val="auto"/>
          <w:sz w:val="28"/>
          <w:highlight w:val="none"/>
        </w:rPr>
      </w:pPr>
      <w:r>
        <w:rPr>
          <w:rFonts w:hint="eastAsia"/>
          <w:color w:val="auto"/>
          <w:sz w:val="28"/>
          <w:highlight w:val="none"/>
        </w:rPr>
        <w:t>招标代理机构：广西瑞真工程造价咨询有限责任公司</w:t>
      </w:r>
    </w:p>
    <w:p w14:paraId="19E71D4B">
      <w:pPr>
        <w:pStyle w:val="13"/>
        <w:spacing w:line="360" w:lineRule="auto"/>
        <w:jc w:val="center"/>
        <w:rPr>
          <w:rFonts w:hint="eastAsia" w:eastAsia="宋体"/>
          <w:color w:val="auto"/>
          <w:highlight w:val="none"/>
          <w:lang w:val="en-US" w:eastAsia="zh-CN"/>
        </w:rPr>
        <w:sectPr>
          <w:footerReference r:id="rId4" w:type="first"/>
          <w:headerReference r:id="rId3" w:type="default"/>
          <w:pgSz w:w="11910" w:h="16840"/>
          <w:pgMar w:top="1580" w:right="1060" w:bottom="280" w:left="1080" w:header="720" w:footer="720" w:gutter="0"/>
          <w:pgNumType w:fmt="decimal"/>
          <w:cols w:space="720" w:num="1"/>
        </w:sectPr>
      </w:pPr>
      <w:r>
        <w:rPr>
          <w:rFonts w:hint="eastAsia"/>
          <w:b/>
          <w:color w:val="auto"/>
          <w:sz w:val="32"/>
          <w:highlight w:val="none"/>
          <w:lang w:val="en-US" w:eastAsia="zh-CN"/>
        </w:rPr>
        <w:t>2025</w:t>
      </w:r>
      <w:r>
        <w:rPr>
          <w:rFonts w:hint="eastAsia"/>
          <w:b/>
          <w:color w:val="auto"/>
          <w:sz w:val="32"/>
          <w:highlight w:val="none"/>
          <w:lang w:val="en-US"/>
        </w:rPr>
        <w:t xml:space="preserve"> 年 </w:t>
      </w:r>
      <w:r>
        <w:rPr>
          <w:rFonts w:hint="eastAsia"/>
          <w:b/>
          <w:color w:val="auto"/>
          <w:sz w:val="32"/>
          <w:highlight w:val="none"/>
          <w:lang w:val="en-US" w:eastAsia="zh-CN"/>
        </w:rPr>
        <w:t xml:space="preserve">05 </w:t>
      </w:r>
      <w:r>
        <w:rPr>
          <w:rFonts w:hint="eastAsia"/>
          <w:b/>
          <w:color w:val="auto"/>
          <w:sz w:val="32"/>
          <w:highlight w:val="none"/>
          <w:lang w:val="en-US"/>
        </w:rPr>
        <w:t>月</w:t>
      </w:r>
      <w:r>
        <w:rPr>
          <w:rFonts w:hint="eastAsia"/>
          <w:b/>
          <w:color w:val="auto"/>
          <w:sz w:val="32"/>
          <w:highlight w:val="none"/>
          <w:lang w:val="en-US" w:eastAsia="zh-CN"/>
        </w:rPr>
        <w:t xml:space="preserve"> 09 日</w:t>
      </w:r>
    </w:p>
    <w:p w14:paraId="025109CB">
      <w:pPr>
        <w:pStyle w:val="18"/>
        <w:tabs>
          <w:tab w:val="right" w:pos="3200"/>
          <w:tab w:val="right" w:leader="dot" w:pos="9770"/>
        </w:tabs>
        <w:spacing w:line="360" w:lineRule="auto"/>
        <w:ind w:left="0" w:leftChars="0" w:firstLine="0" w:firstLineChars="0"/>
        <w:jc w:val="center"/>
        <w:rPr>
          <w:color w:val="auto"/>
          <w:highlight w:val="none"/>
        </w:rPr>
      </w:pPr>
      <w:r>
        <w:rPr>
          <w:color w:val="auto"/>
          <w:highlight w:val="none"/>
        </w:rPr>
        <w:t>目</w:t>
      </w:r>
      <w:r>
        <w:rPr>
          <w:rFonts w:hint="eastAsia"/>
          <w:color w:val="auto"/>
          <w:highlight w:val="none"/>
          <w:lang w:val="en-US"/>
        </w:rPr>
        <w:t xml:space="preserve"> </w:t>
      </w:r>
      <w:r>
        <w:rPr>
          <w:color w:val="auto"/>
          <w:highlight w:val="none"/>
        </w:rPr>
        <w:t>录</w:t>
      </w:r>
    </w:p>
    <w:p w14:paraId="5319AD87">
      <w:pPr>
        <w:pStyle w:val="18"/>
        <w:tabs>
          <w:tab w:val="right" w:leader="dot" w:pos="9586"/>
        </w:tabs>
        <w:rPr>
          <w:color w:val="auto"/>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_Toc19755 </w:instrText>
      </w:r>
      <w:r>
        <w:rPr>
          <w:color w:val="auto"/>
          <w:highlight w:val="none"/>
        </w:rPr>
        <w:fldChar w:fldCharType="separate"/>
      </w:r>
      <w:r>
        <w:rPr>
          <w:rFonts w:hint="eastAsia" w:ascii="宋体" w:hAnsi="宋体" w:eastAsia="宋体" w:cs="宋体"/>
          <w:color w:val="auto"/>
          <w:szCs w:val="30"/>
          <w:lang w:val="en-US"/>
        </w:rPr>
        <w:t>第一章 竞争性磋商公告</w:t>
      </w:r>
      <w:r>
        <w:rPr>
          <w:color w:val="auto"/>
        </w:rPr>
        <w:tab/>
      </w:r>
      <w:r>
        <w:rPr>
          <w:color w:val="auto"/>
        </w:rPr>
        <w:fldChar w:fldCharType="begin"/>
      </w:r>
      <w:r>
        <w:rPr>
          <w:color w:val="auto"/>
        </w:rPr>
        <w:instrText xml:space="preserve"> PAGEREF _Toc19755 \h </w:instrText>
      </w:r>
      <w:r>
        <w:rPr>
          <w:color w:val="auto"/>
        </w:rPr>
        <w:fldChar w:fldCharType="separate"/>
      </w:r>
      <w:r>
        <w:rPr>
          <w:color w:val="auto"/>
        </w:rPr>
        <w:t>2</w:t>
      </w:r>
      <w:r>
        <w:rPr>
          <w:color w:val="auto"/>
        </w:rPr>
        <w:fldChar w:fldCharType="end"/>
      </w:r>
      <w:r>
        <w:rPr>
          <w:color w:val="auto"/>
          <w:highlight w:val="none"/>
        </w:rPr>
        <w:fldChar w:fldCharType="end"/>
      </w:r>
    </w:p>
    <w:p w14:paraId="048F824E">
      <w:pPr>
        <w:pStyle w:val="18"/>
        <w:tabs>
          <w:tab w:val="right" w:leader="dot" w:pos="9586"/>
        </w:tabs>
        <w:rPr>
          <w:color w:val="auto"/>
        </w:rPr>
      </w:pPr>
      <w:r>
        <w:rPr>
          <w:color w:val="auto"/>
          <w:highlight w:val="none"/>
        </w:rPr>
        <w:fldChar w:fldCharType="begin"/>
      </w:r>
      <w:r>
        <w:rPr>
          <w:color w:val="auto"/>
          <w:highlight w:val="none"/>
        </w:rPr>
        <w:instrText xml:space="preserve"> HYPERLINK \l _Toc26496 </w:instrText>
      </w:r>
      <w:r>
        <w:rPr>
          <w:color w:val="auto"/>
          <w:highlight w:val="none"/>
        </w:rPr>
        <w:fldChar w:fldCharType="separate"/>
      </w:r>
      <w:r>
        <w:rPr>
          <w:rFonts w:hint="eastAsia" w:ascii="宋体" w:hAnsi="宋体" w:eastAsia="宋体" w:cs="宋体"/>
          <w:color w:val="auto"/>
          <w:szCs w:val="30"/>
          <w:lang w:val="en-US"/>
        </w:rPr>
        <w:t>第二章</w:t>
      </w:r>
      <w:r>
        <w:rPr>
          <w:rFonts w:hint="eastAsia" w:ascii="宋体" w:hAnsi="宋体" w:eastAsia="宋体" w:cs="宋体"/>
          <w:color w:val="auto"/>
          <w:szCs w:val="30"/>
          <w:lang w:val="en-US" w:eastAsia="zh-CN"/>
        </w:rPr>
        <w:t xml:space="preserve"> </w:t>
      </w:r>
      <w:r>
        <w:rPr>
          <w:rFonts w:hint="eastAsia" w:ascii="宋体" w:hAnsi="宋体" w:eastAsia="宋体" w:cs="宋体"/>
          <w:color w:val="auto"/>
          <w:szCs w:val="30"/>
          <w:lang w:val="en-US"/>
        </w:rPr>
        <w:t>磋商须知及前附表</w:t>
      </w:r>
      <w:r>
        <w:rPr>
          <w:color w:val="auto"/>
        </w:rPr>
        <w:tab/>
      </w:r>
      <w:r>
        <w:rPr>
          <w:color w:val="auto"/>
        </w:rPr>
        <w:fldChar w:fldCharType="begin"/>
      </w:r>
      <w:r>
        <w:rPr>
          <w:color w:val="auto"/>
        </w:rPr>
        <w:instrText xml:space="preserve"> PAGEREF _Toc26496 \h </w:instrText>
      </w:r>
      <w:r>
        <w:rPr>
          <w:color w:val="auto"/>
        </w:rPr>
        <w:fldChar w:fldCharType="separate"/>
      </w:r>
      <w:r>
        <w:rPr>
          <w:color w:val="auto"/>
        </w:rPr>
        <w:t>4</w:t>
      </w:r>
      <w:r>
        <w:rPr>
          <w:color w:val="auto"/>
        </w:rPr>
        <w:fldChar w:fldCharType="end"/>
      </w:r>
      <w:r>
        <w:rPr>
          <w:color w:val="auto"/>
          <w:highlight w:val="none"/>
        </w:rPr>
        <w:fldChar w:fldCharType="end"/>
      </w:r>
    </w:p>
    <w:p w14:paraId="2C1E44EC">
      <w:pPr>
        <w:pStyle w:val="18"/>
        <w:tabs>
          <w:tab w:val="right" w:leader="dot" w:pos="9586"/>
        </w:tabs>
        <w:rPr>
          <w:color w:val="auto"/>
        </w:rPr>
      </w:pPr>
      <w:r>
        <w:rPr>
          <w:color w:val="auto"/>
          <w:highlight w:val="none"/>
        </w:rPr>
        <w:fldChar w:fldCharType="begin"/>
      </w:r>
      <w:r>
        <w:rPr>
          <w:color w:val="auto"/>
          <w:highlight w:val="none"/>
        </w:rPr>
        <w:instrText xml:space="preserve"> HYPERLINK \l _Toc773 </w:instrText>
      </w:r>
      <w:r>
        <w:rPr>
          <w:color w:val="auto"/>
          <w:highlight w:val="none"/>
        </w:rPr>
        <w:fldChar w:fldCharType="separate"/>
      </w:r>
      <w:r>
        <w:rPr>
          <w:rFonts w:hint="eastAsia" w:ascii="宋体" w:hAnsi="宋体" w:eastAsia="宋体" w:cs="宋体"/>
          <w:color w:val="auto"/>
          <w:szCs w:val="30"/>
          <w:lang w:val="en-US"/>
        </w:rPr>
        <w:t>第三章 项目采购需求</w:t>
      </w:r>
      <w:r>
        <w:rPr>
          <w:color w:val="auto"/>
        </w:rPr>
        <w:tab/>
      </w:r>
      <w:r>
        <w:rPr>
          <w:color w:val="auto"/>
        </w:rPr>
        <w:fldChar w:fldCharType="begin"/>
      </w:r>
      <w:r>
        <w:rPr>
          <w:color w:val="auto"/>
        </w:rPr>
        <w:instrText xml:space="preserve"> PAGEREF _Toc773 \h </w:instrText>
      </w:r>
      <w:r>
        <w:rPr>
          <w:color w:val="auto"/>
        </w:rPr>
        <w:fldChar w:fldCharType="separate"/>
      </w:r>
      <w:r>
        <w:rPr>
          <w:color w:val="auto"/>
        </w:rPr>
        <w:t>12</w:t>
      </w:r>
      <w:r>
        <w:rPr>
          <w:color w:val="auto"/>
        </w:rPr>
        <w:fldChar w:fldCharType="end"/>
      </w:r>
      <w:r>
        <w:rPr>
          <w:color w:val="auto"/>
          <w:highlight w:val="none"/>
        </w:rPr>
        <w:fldChar w:fldCharType="end"/>
      </w:r>
    </w:p>
    <w:p w14:paraId="094C1AC9">
      <w:pPr>
        <w:pStyle w:val="18"/>
        <w:tabs>
          <w:tab w:val="right" w:leader="dot" w:pos="9586"/>
        </w:tabs>
        <w:rPr>
          <w:color w:val="auto"/>
        </w:rPr>
      </w:pPr>
      <w:r>
        <w:rPr>
          <w:color w:val="auto"/>
          <w:highlight w:val="none"/>
        </w:rPr>
        <w:fldChar w:fldCharType="begin"/>
      </w:r>
      <w:r>
        <w:rPr>
          <w:color w:val="auto"/>
          <w:highlight w:val="none"/>
        </w:rPr>
        <w:instrText xml:space="preserve"> HYPERLINK \l _Toc15638 </w:instrText>
      </w:r>
      <w:r>
        <w:rPr>
          <w:color w:val="auto"/>
          <w:highlight w:val="none"/>
        </w:rPr>
        <w:fldChar w:fldCharType="separate"/>
      </w:r>
      <w:r>
        <w:rPr>
          <w:rFonts w:hint="eastAsia" w:ascii="宋体" w:hAnsi="宋体" w:eastAsia="宋体" w:cs="宋体"/>
          <w:color w:val="auto"/>
          <w:szCs w:val="30"/>
          <w:lang w:val="en-US" w:eastAsia="zh-CN"/>
        </w:rPr>
        <w:t>第四章 竞争性磋商响应文件格式</w:t>
      </w:r>
      <w:r>
        <w:rPr>
          <w:color w:val="auto"/>
        </w:rPr>
        <w:tab/>
      </w:r>
      <w:r>
        <w:rPr>
          <w:color w:val="auto"/>
        </w:rPr>
        <w:fldChar w:fldCharType="begin"/>
      </w:r>
      <w:r>
        <w:rPr>
          <w:color w:val="auto"/>
        </w:rPr>
        <w:instrText xml:space="preserve"> PAGEREF _Toc15638 \h </w:instrText>
      </w:r>
      <w:r>
        <w:rPr>
          <w:color w:val="auto"/>
        </w:rPr>
        <w:fldChar w:fldCharType="separate"/>
      </w:r>
      <w:r>
        <w:rPr>
          <w:color w:val="auto"/>
        </w:rPr>
        <w:t>32</w:t>
      </w:r>
      <w:r>
        <w:rPr>
          <w:color w:val="auto"/>
        </w:rPr>
        <w:fldChar w:fldCharType="end"/>
      </w:r>
      <w:r>
        <w:rPr>
          <w:color w:val="auto"/>
          <w:highlight w:val="none"/>
        </w:rPr>
        <w:fldChar w:fldCharType="end"/>
      </w:r>
    </w:p>
    <w:p w14:paraId="47A3FF69">
      <w:pPr>
        <w:pStyle w:val="18"/>
        <w:tabs>
          <w:tab w:val="right" w:leader="dot" w:pos="9586"/>
        </w:tabs>
        <w:rPr>
          <w:color w:val="auto"/>
        </w:rPr>
      </w:pPr>
      <w:r>
        <w:rPr>
          <w:color w:val="auto"/>
          <w:highlight w:val="none"/>
        </w:rPr>
        <w:fldChar w:fldCharType="begin"/>
      </w:r>
      <w:r>
        <w:rPr>
          <w:color w:val="auto"/>
          <w:highlight w:val="none"/>
        </w:rPr>
        <w:instrText xml:space="preserve"> HYPERLINK \l _Toc17523 </w:instrText>
      </w:r>
      <w:r>
        <w:rPr>
          <w:color w:val="auto"/>
          <w:highlight w:val="none"/>
        </w:rPr>
        <w:fldChar w:fldCharType="separate"/>
      </w:r>
      <w:r>
        <w:rPr>
          <w:rFonts w:hint="eastAsia" w:ascii="宋体" w:hAnsi="宋体" w:eastAsia="宋体" w:cs="宋体"/>
          <w:color w:val="auto"/>
          <w:szCs w:val="30"/>
          <w:lang w:val="en-US" w:eastAsia="zh-CN"/>
        </w:rPr>
        <w:t>第五章 合同主要条款</w:t>
      </w:r>
      <w:r>
        <w:rPr>
          <w:color w:val="auto"/>
        </w:rPr>
        <w:tab/>
      </w:r>
      <w:r>
        <w:rPr>
          <w:color w:val="auto"/>
        </w:rPr>
        <w:fldChar w:fldCharType="begin"/>
      </w:r>
      <w:r>
        <w:rPr>
          <w:color w:val="auto"/>
        </w:rPr>
        <w:instrText xml:space="preserve"> PAGEREF _Toc17523 \h </w:instrText>
      </w:r>
      <w:r>
        <w:rPr>
          <w:color w:val="auto"/>
        </w:rPr>
        <w:fldChar w:fldCharType="separate"/>
      </w:r>
      <w:r>
        <w:rPr>
          <w:color w:val="auto"/>
        </w:rPr>
        <w:t>47</w:t>
      </w:r>
      <w:r>
        <w:rPr>
          <w:color w:val="auto"/>
        </w:rPr>
        <w:fldChar w:fldCharType="end"/>
      </w:r>
      <w:r>
        <w:rPr>
          <w:color w:val="auto"/>
          <w:highlight w:val="none"/>
        </w:rPr>
        <w:fldChar w:fldCharType="end"/>
      </w:r>
    </w:p>
    <w:p w14:paraId="4FEC7C75">
      <w:pPr>
        <w:pStyle w:val="18"/>
        <w:tabs>
          <w:tab w:val="right" w:leader="dot" w:pos="9586"/>
        </w:tabs>
        <w:rPr>
          <w:color w:val="auto"/>
        </w:rPr>
      </w:pPr>
      <w:r>
        <w:rPr>
          <w:color w:val="auto"/>
          <w:highlight w:val="none"/>
        </w:rPr>
        <w:fldChar w:fldCharType="begin"/>
      </w:r>
      <w:r>
        <w:rPr>
          <w:color w:val="auto"/>
          <w:highlight w:val="none"/>
        </w:rPr>
        <w:instrText xml:space="preserve"> HYPERLINK \l _Toc15197 </w:instrText>
      </w:r>
      <w:r>
        <w:rPr>
          <w:color w:val="auto"/>
          <w:highlight w:val="none"/>
        </w:rPr>
        <w:fldChar w:fldCharType="separate"/>
      </w:r>
      <w:r>
        <w:rPr>
          <w:rFonts w:hint="eastAsia" w:ascii="宋体" w:hAnsi="宋体" w:eastAsia="宋体" w:cs="宋体"/>
          <w:color w:val="auto"/>
          <w:szCs w:val="30"/>
          <w:lang w:val="en-US" w:eastAsia="zh-CN"/>
        </w:rPr>
        <w:t>第六章 评审办法及评分标准</w:t>
      </w:r>
      <w:r>
        <w:rPr>
          <w:color w:val="auto"/>
        </w:rPr>
        <w:tab/>
      </w:r>
      <w:r>
        <w:rPr>
          <w:color w:val="auto"/>
        </w:rPr>
        <w:fldChar w:fldCharType="begin"/>
      </w:r>
      <w:r>
        <w:rPr>
          <w:color w:val="auto"/>
        </w:rPr>
        <w:instrText xml:space="preserve"> PAGEREF _Toc15197 \h </w:instrText>
      </w:r>
      <w:r>
        <w:rPr>
          <w:color w:val="auto"/>
        </w:rPr>
        <w:fldChar w:fldCharType="separate"/>
      </w:r>
      <w:r>
        <w:rPr>
          <w:color w:val="auto"/>
        </w:rPr>
        <w:t>56</w:t>
      </w:r>
      <w:r>
        <w:rPr>
          <w:color w:val="auto"/>
        </w:rPr>
        <w:fldChar w:fldCharType="end"/>
      </w:r>
      <w:r>
        <w:rPr>
          <w:color w:val="auto"/>
          <w:highlight w:val="none"/>
        </w:rPr>
        <w:fldChar w:fldCharType="end"/>
      </w:r>
    </w:p>
    <w:p w14:paraId="35C559D4">
      <w:pPr>
        <w:rPr>
          <w:color w:val="auto"/>
          <w:highlight w:val="none"/>
        </w:rPr>
      </w:pPr>
      <w:r>
        <w:rPr>
          <w:color w:val="auto"/>
          <w:highlight w:val="none"/>
        </w:rPr>
        <w:fldChar w:fldCharType="end"/>
      </w:r>
    </w:p>
    <w:p w14:paraId="4961105A">
      <w:pPr>
        <w:bidi w:val="0"/>
        <w:rPr>
          <w:color w:val="auto"/>
        </w:rPr>
      </w:pPr>
    </w:p>
    <w:p w14:paraId="387F308D">
      <w:pPr>
        <w:bidi w:val="0"/>
        <w:rPr>
          <w:color w:val="auto"/>
        </w:rPr>
      </w:pPr>
    </w:p>
    <w:p w14:paraId="44039932">
      <w:pPr>
        <w:bidi w:val="0"/>
        <w:rPr>
          <w:color w:val="auto"/>
        </w:rPr>
      </w:pPr>
    </w:p>
    <w:p w14:paraId="1E36FD0A">
      <w:pPr>
        <w:bidi w:val="0"/>
        <w:rPr>
          <w:color w:val="auto"/>
        </w:rPr>
      </w:pPr>
    </w:p>
    <w:p w14:paraId="40310DC5">
      <w:pPr>
        <w:bidi w:val="0"/>
        <w:rPr>
          <w:color w:val="auto"/>
        </w:rPr>
      </w:pPr>
    </w:p>
    <w:p w14:paraId="6607EEDA">
      <w:pPr>
        <w:bidi w:val="0"/>
        <w:rPr>
          <w:color w:val="auto"/>
        </w:rPr>
      </w:pPr>
    </w:p>
    <w:p w14:paraId="1DFA7959">
      <w:pPr>
        <w:bidi w:val="0"/>
        <w:rPr>
          <w:color w:val="auto"/>
        </w:rPr>
      </w:pPr>
    </w:p>
    <w:p w14:paraId="737AF3E1">
      <w:pPr>
        <w:bidi w:val="0"/>
        <w:rPr>
          <w:color w:val="auto"/>
        </w:rPr>
      </w:pPr>
    </w:p>
    <w:p w14:paraId="4C353A51">
      <w:pPr>
        <w:bidi w:val="0"/>
        <w:rPr>
          <w:color w:val="auto"/>
        </w:rPr>
      </w:pPr>
    </w:p>
    <w:p w14:paraId="14BE1E4D">
      <w:pPr>
        <w:bidi w:val="0"/>
        <w:rPr>
          <w:color w:val="auto"/>
        </w:rPr>
      </w:pPr>
    </w:p>
    <w:p w14:paraId="2FE07343">
      <w:pPr>
        <w:bidi w:val="0"/>
        <w:rPr>
          <w:color w:val="auto"/>
        </w:rPr>
      </w:pPr>
    </w:p>
    <w:p w14:paraId="4B3F3184">
      <w:pPr>
        <w:bidi w:val="0"/>
        <w:rPr>
          <w:color w:val="auto"/>
        </w:rPr>
      </w:pPr>
    </w:p>
    <w:p w14:paraId="7C380DD0">
      <w:pPr>
        <w:bidi w:val="0"/>
        <w:rPr>
          <w:color w:val="auto"/>
        </w:rPr>
      </w:pPr>
    </w:p>
    <w:p w14:paraId="148672D5">
      <w:pPr>
        <w:bidi w:val="0"/>
        <w:rPr>
          <w:color w:val="auto"/>
        </w:rPr>
      </w:pPr>
    </w:p>
    <w:p w14:paraId="03808F7E">
      <w:pPr>
        <w:bidi w:val="0"/>
        <w:rPr>
          <w:color w:val="auto"/>
        </w:rPr>
      </w:pPr>
    </w:p>
    <w:p w14:paraId="7E48E923">
      <w:pPr>
        <w:bidi w:val="0"/>
        <w:rPr>
          <w:color w:val="auto"/>
        </w:rPr>
      </w:pPr>
    </w:p>
    <w:p w14:paraId="5A7AF368">
      <w:pPr>
        <w:bidi w:val="0"/>
        <w:rPr>
          <w:color w:val="auto"/>
        </w:rPr>
      </w:pPr>
    </w:p>
    <w:p w14:paraId="5D53A818">
      <w:pPr>
        <w:bidi w:val="0"/>
        <w:rPr>
          <w:color w:val="auto"/>
        </w:rPr>
      </w:pPr>
    </w:p>
    <w:p w14:paraId="172E9503">
      <w:pPr>
        <w:bidi w:val="0"/>
        <w:rPr>
          <w:color w:val="auto"/>
        </w:rPr>
      </w:pPr>
    </w:p>
    <w:p w14:paraId="19F00C96">
      <w:pPr>
        <w:bidi w:val="0"/>
        <w:rPr>
          <w:color w:val="auto"/>
        </w:rPr>
      </w:pPr>
    </w:p>
    <w:p w14:paraId="21F1A17C">
      <w:pPr>
        <w:bidi w:val="0"/>
        <w:rPr>
          <w:color w:val="auto"/>
        </w:rPr>
      </w:pPr>
    </w:p>
    <w:p w14:paraId="5C636539">
      <w:pPr>
        <w:bidi w:val="0"/>
        <w:rPr>
          <w:color w:val="auto"/>
        </w:rPr>
      </w:pPr>
    </w:p>
    <w:p w14:paraId="28D09B9A">
      <w:pPr>
        <w:bidi w:val="0"/>
        <w:rPr>
          <w:color w:val="auto"/>
        </w:rPr>
      </w:pPr>
    </w:p>
    <w:p w14:paraId="1ABBCCEB">
      <w:pPr>
        <w:bidi w:val="0"/>
        <w:rPr>
          <w:color w:val="auto"/>
        </w:rPr>
      </w:pPr>
    </w:p>
    <w:p w14:paraId="04237B8B">
      <w:pPr>
        <w:bidi w:val="0"/>
        <w:rPr>
          <w:color w:val="auto"/>
        </w:rPr>
      </w:pPr>
    </w:p>
    <w:p w14:paraId="6DF63E56">
      <w:pPr>
        <w:bidi w:val="0"/>
        <w:rPr>
          <w:color w:val="auto"/>
        </w:rPr>
      </w:pPr>
    </w:p>
    <w:p w14:paraId="5F846D3E">
      <w:pPr>
        <w:bidi w:val="0"/>
        <w:rPr>
          <w:color w:val="auto"/>
        </w:rPr>
      </w:pPr>
    </w:p>
    <w:p w14:paraId="0CD7DB63">
      <w:pPr>
        <w:bidi w:val="0"/>
        <w:rPr>
          <w:rFonts w:hint="eastAsia"/>
          <w:color w:val="auto"/>
          <w:lang w:val="en-US"/>
        </w:rPr>
      </w:pPr>
      <w:bookmarkStart w:id="0" w:name="_Toc17748"/>
      <w:bookmarkStart w:id="1" w:name="_Toc19755"/>
    </w:p>
    <w:p w14:paraId="7E9BE57B">
      <w:pPr>
        <w:bidi w:val="0"/>
        <w:rPr>
          <w:rFonts w:hint="eastAsia"/>
          <w:color w:val="auto"/>
          <w:lang w:val="en-US"/>
        </w:rPr>
      </w:pPr>
    </w:p>
    <w:p w14:paraId="10BAF02E">
      <w:pPr>
        <w:bidi w:val="0"/>
        <w:rPr>
          <w:rFonts w:hint="eastAsia"/>
          <w:color w:val="auto"/>
          <w:lang w:val="en-US"/>
        </w:rPr>
      </w:pPr>
    </w:p>
    <w:p w14:paraId="161831CD">
      <w:pPr>
        <w:pStyle w:val="3"/>
        <w:bidi w:val="0"/>
        <w:spacing w:line="480" w:lineRule="auto"/>
        <w:rPr>
          <w:rFonts w:hint="eastAsia" w:ascii="宋体" w:hAnsi="宋体" w:eastAsia="宋体" w:cs="宋体"/>
          <w:color w:val="auto"/>
          <w:sz w:val="30"/>
          <w:szCs w:val="30"/>
          <w:lang w:val="en-US"/>
        </w:rPr>
      </w:pPr>
      <w:r>
        <w:rPr>
          <w:rFonts w:hint="eastAsia" w:ascii="宋体" w:hAnsi="宋体" w:eastAsia="宋体" w:cs="宋体"/>
          <w:color w:val="auto"/>
          <w:sz w:val="30"/>
          <w:szCs w:val="30"/>
          <w:lang w:val="en-US"/>
        </w:rPr>
        <w:t>第一章 竞争性磋商公告</w:t>
      </w:r>
      <w:bookmarkEnd w:id="0"/>
      <w:bookmarkEnd w:id="1"/>
      <w:bookmarkStart w:id="2" w:name="_Toc4381"/>
    </w:p>
    <w:p w14:paraId="2F99818B">
      <w:pPr>
        <w:tabs>
          <w:tab w:val="left" w:pos="9639"/>
          <w:tab w:val="left" w:pos="9746"/>
        </w:tabs>
        <w:adjustRightInd w:val="0"/>
        <w:snapToGrid w:val="0"/>
        <w:spacing w:line="360" w:lineRule="auto"/>
        <w:ind w:firstLine="562" w:firstLineChars="200"/>
        <w:jc w:val="center"/>
        <w:rPr>
          <w:rFonts w:cs="Arial"/>
          <w:b/>
          <w:bCs/>
          <w:color w:val="auto"/>
          <w:sz w:val="28"/>
          <w:szCs w:val="28"/>
          <w:highlight w:val="none"/>
          <w:lang w:val="en-US"/>
        </w:rPr>
      </w:pPr>
      <w:r>
        <w:rPr>
          <w:rFonts w:hint="eastAsia" w:cs="Arial"/>
          <w:b/>
          <w:bCs/>
          <w:color w:val="auto"/>
          <w:sz w:val="28"/>
          <w:szCs w:val="28"/>
          <w:highlight w:val="none"/>
          <w:lang w:val="en-US"/>
        </w:rPr>
        <w:t>广西瑞真工程造价咨询有限责任公司关于</w:t>
      </w:r>
    </w:p>
    <w:p w14:paraId="6787E547">
      <w:pPr>
        <w:tabs>
          <w:tab w:val="left" w:pos="9639"/>
          <w:tab w:val="left" w:pos="9746"/>
        </w:tabs>
        <w:adjustRightInd w:val="0"/>
        <w:snapToGrid w:val="0"/>
        <w:spacing w:line="360" w:lineRule="auto"/>
        <w:ind w:firstLine="562" w:firstLineChars="200"/>
        <w:jc w:val="center"/>
        <w:rPr>
          <w:rFonts w:hint="eastAsia" w:cs="Arial"/>
          <w:b/>
          <w:bCs/>
          <w:color w:val="auto"/>
          <w:sz w:val="28"/>
          <w:szCs w:val="28"/>
          <w:highlight w:val="none"/>
          <w:lang w:val="en-US"/>
        </w:rPr>
      </w:pPr>
      <w:r>
        <w:rPr>
          <w:rFonts w:hint="eastAsia" w:cs="Arial"/>
          <w:b/>
          <w:bCs/>
          <w:color w:val="auto"/>
          <w:sz w:val="28"/>
          <w:szCs w:val="28"/>
          <w:highlight w:val="none"/>
          <w:lang w:val="en-US" w:eastAsia="zh-CN"/>
        </w:rPr>
        <w:t>2025—2026年度北海市区控市级环境空气和大气降水自动监测站运行维护服务</w:t>
      </w:r>
      <w:r>
        <w:rPr>
          <w:rFonts w:hint="eastAsia" w:ascii="宋体" w:hAnsi="宋体" w:eastAsia="宋体" w:cs="Arial"/>
          <w:b/>
          <w:bCs/>
          <w:color w:val="auto"/>
          <w:sz w:val="28"/>
          <w:szCs w:val="28"/>
          <w:highlight w:val="none"/>
          <w:lang w:val="en-US"/>
        </w:rPr>
        <w:t>竞</w:t>
      </w:r>
      <w:r>
        <w:rPr>
          <w:rFonts w:hint="eastAsia" w:cs="Arial"/>
          <w:b/>
          <w:bCs/>
          <w:color w:val="auto"/>
          <w:sz w:val="28"/>
          <w:szCs w:val="28"/>
          <w:highlight w:val="none"/>
          <w:lang w:val="en-US"/>
        </w:rPr>
        <w:t>争性磋商公告</w:t>
      </w:r>
    </w:p>
    <w:p w14:paraId="0957C296">
      <w:pPr>
        <w:spacing w:line="360" w:lineRule="auto"/>
        <w:jc w:val="both"/>
        <w:rPr>
          <w:color w:val="auto"/>
          <w:highlight w:val="none"/>
          <w:lang w:val="en-US"/>
        </w:rPr>
      </w:pPr>
      <w:bookmarkStart w:id="3" w:name="_Toc28359012"/>
      <w:bookmarkStart w:id="4" w:name="_Toc28359089"/>
      <w:bookmarkStart w:id="5" w:name="_Toc35393798"/>
      <w:bookmarkStart w:id="6" w:name="_Toc35393629"/>
    </w:p>
    <w:p w14:paraId="7011404F">
      <w:pPr>
        <w:pBdr>
          <w:top w:val="single" w:color="auto" w:sz="4" w:space="1"/>
          <w:left w:val="single" w:color="auto" w:sz="4" w:space="4"/>
          <w:bottom w:val="single" w:color="auto" w:sz="4" w:space="1"/>
          <w:right w:val="single" w:color="auto" w:sz="4" w:space="4"/>
        </w:pBdr>
        <w:spacing w:line="360" w:lineRule="auto"/>
        <w:jc w:val="both"/>
        <w:rPr>
          <w:b/>
          <w:color w:val="auto"/>
          <w:szCs w:val="21"/>
          <w:highlight w:val="none"/>
          <w:lang w:val="en-US"/>
        </w:rPr>
      </w:pPr>
      <w:r>
        <w:rPr>
          <w:rFonts w:hint="eastAsia" w:ascii="Times New Roman"/>
          <w:b/>
          <w:color w:val="auto"/>
          <w:sz w:val="21"/>
          <w:szCs w:val="21"/>
          <w:highlight w:val="none"/>
          <w:lang w:val="en-US"/>
        </w:rPr>
        <w:t>项目概况</w:t>
      </w:r>
    </w:p>
    <w:p w14:paraId="02986868">
      <w:pPr>
        <w:pBdr>
          <w:top w:val="single" w:color="auto" w:sz="4" w:space="1"/>
          <w:left w:val="single" w:color="auto" w:sz="4" w:space="4"/>
          <w:bottom w:val="single" w:color="auto" w:sz="4" w:space="1"/>
          <w:right w:val="single" w:color="auto" w:sz="4" w:space="4"/>
        </w:pBdr>
        <w:spacing w:line="360" w:lineRule="auto"/>
        <w:ind w:firstLine="420" w:firstLineChars="200"/>
        <w:jc w:val="both"/>
        <w:rPr>
          <w:rFonts w:hint="eastAsia" w:ascii="宋体" w:hAnsi="宋体" w:eastAsia="宋体" w:cs="宋体"/>
          <w:color w:val="auto"/>
          <w:sz w:val="21"/>
          <w:szCs w:val="21"/>
          <w:highlight w:val="none"/>
          <w:u w:val="single"/>
          <w:lang w:val="en-US"/>
        </w:rPr>
      </w:pPr>
      <w:r>
        <w:rPr>
          <w:rFonts w:hint="eastAsia" w:cs="宋体"/>
          <w:color w:val="auto"/>
          <w:sz w:val="21"/>
          <w:szCs w:val="21"/>
          <w:highlight w:val="none"/>
          <w:u w:val="single"/>
          <w:lang w:val="en-US" w:eastAsia="zh-CN"/>
        </w:rPr>
        <w:t>2025—2026年度北海市区控市级环境空气和大气降水自动监测站运行维护服务</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rPr>
        <w:t>项目的潜在供应商应在</w:t>
      </w:r>
      <w:r>
        <w:rPr>
          <w:rFonts w:hint="eastAsia" w:cs="宋体"/>
          <w:color w:val="auto"/>
          <w:sz w:val="21"/>
          <w:szCs w:val="21"/>
          <w:highlight w:val="none"/>
          <w:u w:val="single"/>
          <w:lang w:val="en-US" w:eastAsia="zh-CN"/>
        </w:rPr>
        <w:t>广西瑞真工程造价咨询有限责任公司</w:t>
      </w:r>
      <w:r>
        <w:rPr>
          <w:rFonts w:hint="eastAsia" w:ascii="宋体" w:hAnsi="宋体" w:eastAsia="宋体" w:cs="宋体"/>
          <w:color w:val="auto"/>
          <w:sz w:val="21"/>
          <w:szCs w:val="21"/>
          <w:highlight w:val="none"/>
          <w:u w:val="single"/>
          <w:lang w:val="en-US"/>
        </w:rPr>
        <w:t>（</w:t>
      </w:r>
      <w:r>
        <w:rPr>
          <w:rFonts w:hint="eastAsia" w:ascii="宋体" w:hAnsi="宋体" w:eastAsia="宋体" w:cs="宋体"/>
          <w:b w:val="0"/>
          <w:bCs w:val="0"/>
          <w:color w:val="auto"/>
          <w:kern w:val="2"/>
          <w:sz w:val="21"/>
          <w:szCs w:val="21"/>
          <w:highlight w:val="none"/>
          <w:u w:val="single"/>
          <w:lang w:val="en-US" w:eastAsia="zh-CN"/>
        </w:rPr>
        <w:t>北海市重庆路发展大厦A座701室</w:t>
      </w:r>
      <w:r>
        <w:rPr>
          <w:rFonts w:hint="eastAsia" w:ascii="宋体" w:hAnsi="宋体" w:eastAsia="宋体" w:cs="宋体"/>
          <w:color w:val="auto"/>
          <w:sz w:val="21"/>
          <w:szCs w:val="21"/>
          <w:highlight w:val="none"/>
          <w:u w:val="single"/>
          <w:lang w:val="en-US"/>
        </w:rPr>
        <w:t>）</w:t>
      </w:r>
      <w:r>
        <w:rPr>
          <w:rFonts w:hint="eastAsia" w:ascii="宋体" w:hAnsi="宋体" w:eastAsia="宋体" w:cs="宋体"/>
          <w:color w:val="auto"/>
          <w:sz w:val="21"/>
          <w:szCs w:val="21"/>
          <w:highlight w:val="none"/>
          <w:lang w:val="en-US"/>
        </w:rPr>
        <w:t>获取采购文件，并于</w:t>
      </w:r>
      <w:r>
        <w:rPr>
          <w:rFonts w:hint="eastAsia" w:ascii="宋体" w:hAnsi="宋体" w:eastAsia="宋体" w:cs="宋体"/>
          <w:color w:val="auto"/>
          <w:sz w:val="21"/>
          <w:szCs w:val="21"/>
          <w:highlight w:val="none"/>
          <w:u w:val="single"/>
          <w:lang w:val="en-US" w:eastAsia="zh-CN"/>
        </w:rPr>
        <w:t xml:space="preserve"> 2025 </w:t>
      </w:r>
      <w:r>
        <w:rPr>
          <w:rFonts w:hint="eastAsia" w:ascii="宋体" w:hAnsi="宋体" w:eastAsia="宋体" w:cs="宋体"/>
          <w:color w:val="auto"/>
          <w:sz w:val="21"/>
          <w:szCs w:val="21"/>
          <w:highlight w:val="none"/>
          <w:u w:val="single"/>
          <w:lang w:val="en-US"/>
        </w:rPr>
        <w:t>年</w:t>
      </w:r>
    </w:p>
    <w:p w14:paraId="6E25A729">
      <w:pPr>
        <w:pBdr>
          <w:top w:val="single" w:color="auto" w:sz="4" w:space="1"/>
          <w:left w:val="single" w:color="auto" w:sz="4" w:space="4"/>
          <w:bottom w:val="single" w:color="auto" w:sz="4" w:space="1"/>
          <w:right w:val="single" w:color="auto" w:sz="4" w:space="4"/>
        </w:pBdr>
        <w:spacing w:line="36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 xml:space="preserve">05 </w:t>
      </w:r>
      <w:r>
        <w:rPr>
          <w:rFonts w:hint="eastAsia" w:ascii="宋体" w:hAnsi="宋体" w:eastAsia="宋体" w:cs="宋体"/>
          <w:color w:val="auto"/>
          <w:sz w:val="21"/>
          <w:szCs w:val="21"/>
          <w:highlight w:val="none"/>
          <w:u w:val="single"/>
          <w:lang w:val="en-US"/>
        </w:rPr>
        <w:t>月</w:t>
      </w:r>
      <w:r>
        <w:rPr>
          <w:rFonts w:hint="eastAsia" w:ascii="宋体" w:hAnsi="宋体"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19</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rPr>
        <w:t>日</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09</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rPr>
        <w:t>时</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30</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rPr>
        <w:t>分（北京时间）</w:t>
      </w:r>
      <w:r>
        <w:rPr>
          <w:rFonts w:hint="eastAsia" w:ascii="宋体" w:hAnsi="宋体" w:eastAsia="宋体" w:cs="宋体"/>
          <w:color w:val="auto"/>
          <w:sz w:val="21"/>
          <w:szCs w:val="21"/>
          <w:highlight w:val="none"/>
          <w:lang w:val="en-US"/>
        </w:rPr>
        <w:t>前提交响应文件。</w:t>
      </w:r>
    </w:p>
    <w:p w14:paraId="09EC15F4">
      <w:pPr>
        <w:spacing w:line="360" w:lineRule="auto"/>
        <w:jc w:val="both"/>
        <w:rPr>
          <w:b/>
          <w:color w:val="auto"/>
          <w:sz w:val="21"/>
          <w:szCs w:val="21"/>
          <w:highlight w:val="none"/>
          <w:lang w:val="en-US"/>
        </w:rPr>
      </w:pPr>
      <w:r>
        <w:rPr>
          <w:rFonts w:hint="eastAsia" w:ascii="Times New Roman"/>
          <w:b/>
          <w:color w:val="auto"/>
          <w:sz w:val="21"/>
          <w:szCs w:val="21"/>
          <w:highlight w:val="none"/>
          <w:lang w:val="en-US"/>
        </w:rPr>
        <w:t>一、项目基本情况</w:t>
      </w:r>
      <w:bookmarkEnd w:id="3"/>
      <w:bookmarkEnd w:id="4"/>
      <w:bookmarkEnd w:id="5"/>
      <w:bookmarkEnd w:id="6"/>
    </w:p>
    <w:p w14:paraId="11671768">
      <w:pPr>
        <w:spacing w:line="360" w:lineRule="auto"/>
        <w:ind w:firstLine="210" w:firstLineChars="100"/>
        <w:rPr>
          <w:rFonts w:hint="eastAsia" w:eastAsia="宋体"/>
          <w:color w:val="auto"/>
          <w:sz w:val="21"/>
          <w:szCs w:val="21"/>
          <w:highlight w:val="none"/>
          <w:lang w:val="en-US" w:eastAsia="zh-CN"/>
        </w:rPr>
      </w:pPr>
      <w:r>
        <w:rPr>
          <w:rFonts w:hint="eastAsia"/>
          <w:color w:val="auto"/>
          <w:sz w:val="21"/>
          <w:szCs w:val="21"/>
          <w:highlight w:val="none"/>
          <w:lang w:eastAsia="zh-CN"/>
        </w:rPr>
        <w:t>（一）</w:t>
      </w:r>
      <w:r>
        <w:rPr>
          <w:rFonts w:hint="eastAsia"/>
          <w:color w:val="auto"/>
          <w:sz w:val="21"/>
          <w:szCs w:val="21"/>
          <w:highlight w:val="none"/>
        </w:rPr>
        <w:t>项目编号：</w:t>
      </w:r>
      <w:r>
        <w:rPr>
          <w:rFonts w:hint="eastAsia"/>
          <w:color w:val="auto"/>
          <w:sz w:val="21"/>
          <w:szCs w:val="21"/>
          <w:highlight w:val="none"/>
          <w:lang w:eastAsia="zh-CN"/>
        </w:rPr>
        <w:t>GXRZBH-2025-008</w:t>
      </w:r>
    </w:p>
    <w:p w14:paraId="529DCD14">
      <w:pPr>
        <w:spacing w:line="360" w:lineRule="auto"/>
        <w:ind w:firstLine="210" w:firstLineChars="100"/>
        <w:rPr>
          <w:rFonts w:hint="eastAsia" w:ascii="宋体" w:hAnsi="宋体" w:eastAsia="宋体" w:cs="宋体"/>
          <w:color w:val="auto"/>
          <w:sz w:val="21"/>
          <w:szCs w:val="21"/>
          <w:highlight w:val="none"/>
          <w:lang w:val="en-US" w:eastAsia="zh-CN"/>
        </w:rPr>
      </w:pPr>
      <w:r>
        <w:rPr>
          <w:rFonts w:hint="eastAsia"/>
          <w:color w:val="auto"/>
          <w:sz w:val="21"/>
          <w:szCs w:val="21"/>
          <w:highlight w:val="none"/>
          <w:lang w:eastAsia="zh-CN"/>
        </w:rPr>
        <w:t>（二）</w:t>
      </w:r>
      <w:r>
        <w:rPr>
          <w:rFonts w:hint="eastAsia"/>
          <w:color w:val="auto"/>
          <w:sz w:val="21"/>
          <w:szCs w:val="21"/>
          <w:highlight w:val="none"/>
        </w:rPr>
        <w:t>项目名称：</w:t>
      </w:r>
      <w:r>
        <w:rPr>
          <w:rFonts w:hint="eastAsia" w:cs="宋体"/>
          <w:color w:val="auto"/>
          <w:sz w:val="21"/>
          <w:szCs w:val="21"/>
          <w:highlight w:val="none"/>
          <w:lang w:val="en-US" w:eastAsia="zh-CN"/>
        </w:rPr>
        <w:t>2025—2026年度北海市区控市级环境空气和大气降水自动监测站运行维护服务</w:t>
      </w:r>
    </w:p>
    <w:p w14:paraId="1CCCB10D">
      <w:pPr>
        <w:spacing w:line="360" w:lineRule="auto"/>
        <w:ind w:firstLine="210" w:firstLineChars="100"/>
        <w:rPr>
          <w:rFonts w:hint="eastAsia" w:eastAsia="宋体"/>
          <w:color w:val="auto"/>
          <w:sz w:val="21"/>
          <w:szCs w:val="21"/>
          <w:highlight w:val="none"/>
          <w:lang w:eastAsia="zh-CN"/>
        </w:rPr>
      </w:pPr>
      <w:r>
        <w:rPr>
          <w:rFonts w:hint="eastAsia"/>
          <w:color w:val="auto"/>
          <w:sz w:val="21"/>
          <w:szCs w:val="21"/>
          <w:highlight w:val="none"/>
          <w:lang w:eastAsia="zh-CN"/>
        </w:rPr>
        <w:t>（三）</w:t>
      </w:r>
      <w:r>
        <w:rPr>
          <w:rFonts w:hint="eastAsia"/>
          <w:color w:val="auto"/>
          <w:sz w:val="21"/>
          <w:szCs w:val="21"/>
          <w:highlight w:val="none"/>
        </w:rPr>
        <w:t>采购方式：竞争性</w:t>
      </w:r>
      <w:r>
        <w:rPr>
          <w:rFonts w:hint="eastAsia"/>
          <w:color w:val="auto"/>
          <w:sz w:val="21"/>
          <w:szCs w:val="21"/>
          <w:highlight w:val="none"/>
          <w:lang w:val="en-US" w:eastAsia="zh-CN"/>
        </w:rPr>
        <w:t>磋商</w:t>
      </w:r>
    </w:p>
    <w:p w14:paraId="439B9B36">
      <w:pPr>
        <w:spacing w:line="360" w:lineRule="auto"/>
        <w:ind w:firstLine="210" w:firstLineChars="100"/>
        <w:rPr>
          <w:rFonts w:hint="eastAsia"/>
          <w:color w:val="auto"/>
          <w:sz w:val="21"/>
          <w:szCs w:val="21"/>
          <w:highlight w:val="none"/>
          <w:lang w:eastAsia="zh-CN"/>
        </w:rPr>
      </w:pPr>
      <w:r>
        <w:rPr>
          <w:rFonts w:hint="eastAsia"/>
          <w:color w:val="auto"/>
          <w:sz w:val="21"/>
          <w:szCs w:val="21"/>
          <w:highlight w:val="none"/>
          <w:lang w:eastAsia="zh-CN"/>
        </w:rPr>
        <w:t>（四）采购控制价（</w:t>
      </w:r>
      <w:r>
        <w:rPr>
          <w:rFonts w:hint="eastAsia" w:ascii="宋体" w:hAnsi="宋体" w:eastAsia="宋体" w:cs="宋体"/>
          <w:color w:val="auto"/>
          <w:sz w:val="21"/>
          <w:szCs w:val="21"/>
          <w:highlight w:val="none"/>
        </w:rPr>
        <w:t>人民币</w:t>
      </w:r>
      <w:r>
        <w:rPr>
          <w:rFonts w:hint="eastAsia" w:ascii="宋体" w:hAnsi="宋体" w:eastAsia="宋体" w:cs="宋体"/>
          <w:color w:val="auto"/>
          <w:sz w:val="21"/>
          <w:szCs w:val="21"/>
          <w:highlight w:val="none"/>
          <w:lang w:eastAsia="zh-CN"/>
        </w:rPr>
        <w:t>）</w:t>
      </w:r>
      <w:r>
        <w:rPr>
          <w:rFonts w:hint="eastAsia"/>
          <w:color w:val="auto"/>
          <w:sz w:val="21"/>
          <w:szCs w:val="21"/>
          <w:highlight w:val="none"/>
        </w:rPr>
        <w:t>：</w:t>
      </w:r>
      <w:r>
        <w:rPr>
          <w:rFonts w:hint="eastAsia"/>
          <w:color w:val="auto"/>
          <w:sz w:val="21"/>
          <w:szCs w:val="21"/>
          <w:highlight w:val="none"/>
          <w:lang w:val="en-US" w:eastAsia="zh-CN"/>
        </w:rPr>
        <w:t>贰拾玖万元整（¥290000.00元）</w:t>
      </w:r>
    </w:p>
    <w:p w14:paraId="42095E3B">
      <w:pPr>
        <w:spacing w:line="360" w:lineRule="auto"/>
        <w:ind w:firstLine="210" w:firstLineChars="100"/>
        <w:rPr>
          <w:rFonts w:hint="eastAsia"/>
          <w:color w:val="auto"/>
          <w:sz w:val="21"/>
          <w:szCs w:val="21"/>
          <w:highlight w:val="none"/>
          <w:lang w:eastAsia="zh-CN"/>
        </w:rPr>
      </w:pPr>
      <w:r>
        <w:rPr>
          <w:rFonts w:hint="eastAsia"/>
          <w:color w:val="auto"/>
          <w:sz w:val="21"/>
          <w:szCs w:val="21"/>
          <w:highlight w:val="none"/>
          <w:lang w:eastAsia="zh-CN"/>
        </w:rPr>
        <w:t>（五）</w:t>
      </w:r>
      <w:r>
        <w:rPr>
          <w:rFonts w:hint="eastAsia" w:ascii="宋体" w:hAnsi="宋体" w:eastAsia="宋体" w:cs="宋体"/>
          <w:color w:val="auto"/>
          <w:sz w:val="21"/>
          <w:szCs w:val="21"/>
          <w:highlight w:val="none"/>
          <w:lang w:eastAsia="zh-CN"/>
        </w:rPr>
        <w:t>采购需求：</w:t>
      </w:r>
      <w:r>
        <w:rPr>
          <w:rFonts w:hint="eastAsia" w:cs="宋体"/>
          <w:color w:val="auto"/>
          <w:sz w:val="21"/>
          <w:szCs w:val="21"/>
          <w:highlight w:val="none"/>
          <w:lang w:val="en-US" w:eastAsia="zh-CN"/>
        </w:rPr>
        <w:t>2025—2026年度北海市区控市级环境空气和大气降水自动监测站运行维护服务；</w:t>
      </w:r>
      <w:r>
        <w:rPr>
          <w:rFonts w:hint="eastAsia" w:ascii="宋体" w:hAnsi="宋体" w:eastAsia="宋体" w:cs="宋体"/>
          <w:color w:val="auto"/>
          <w:sz w:val="21"/>
          <w:szCs w:val="21"/>
          <w:highlight w:val="none"/>
          <w:lang w:val="en-US" w:eastAsia="zh-CN"/>
        </w:rPr>
        <w:t>详见采购文件。</w:t>
      </w:r>
    </w:p>
    <w:p w14:paraId="27F48DDE">
      <w:pPr>
        <w:spacing w:line="360" w:lineRule="auto"/>
        <w:ind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lang w:val="en-US" w:eastAsia="zh-CN"/>
        </w:rPr>
        <w:t>合同履约期限：</w:t>
      </w:r>
      <w:r>
        <w:rPr>
          <w:rFonts w:hint="eastAsia" w:ascii="宋体" w:hAnsi="宋体"/>
          <w:color w:val="auto"/>
          <w:szCs w:val="21"/>
        </w:rPr>
        <w:t>一年</w:t>
      </w:r>
      <w:r>
        <w:rPr>
          <w:rFonts w:hint="eastAsia" w:ascii="宋体" w:hAnsi="宋体" w:eastAsia="宋体" w:cs="宋体"/>
          <w:color w:val="auto"/>
          <w:sz w:val="21"/>
          <w:szCs w:val="21"/>
          <w:highlight w:val="none"/>
          <w:lang w:val="en-US" w:eastAsia="zh-CN"/>
        </w:rPr>
        <w:t>。</w:t>
      </w:r>
    </w:p>
    <w:p w14:paraId="458A03E5">
      <w:pPr>
        <w:spacing w:line="360" w:lineRule="auto"/>
        <w:ind w:firstLine="210" w:firstLineChars="100"/>
        <w:rPr>
          <w:rFonts w:hint="eastAsia" w:ascii="宋体" w:hAnsi="宋体" w:eastAsia="宋体" w:cs="宋体"/>
          <w:color w:val="auto"/>
          <w:sz w:val="21"/>
          <w:szCs w:val="21"/>
          <w:highlight w:val="none"/>
          <w:lang w:val="en-US"/>
        </w:rPr>
      </w:pPr>
      <w:r>
        <w:rPr>
          <w:rFonts w:hint="eastAsia"/>
          <w:color w:val="auto"/>
          <w:sz w:val="21"/>
          <w:szCs w:val="21"/>
          <w:highlight w:val="none"/>
          <w:lang w:eastAsia="zh-CN"/>
        </w:rPr>
        <w:t>（七）</w:t>
      </w:r>
      <w:r>
        <w:rPr>
          <w:rFonts w:hint="eastAsia" w:ascii="宋体" w:hAnsi="宋体" w:eastAsia="宋体" w:cs="宋体"/>
          <w:color w:val="auto"/>
          <w:sz w:val="21"/>
          <w:szCs w:val="21"/>
          <w:highlight w:val="none"/>
        </w:rPr>
        <w:t>本项目不接受联合体。</w:t>
      </w:r>
    </w:p>
    <w:p w14:paraId="36F464BD">
      <w:pPr>
        <w:spacing w:line="360" w:lineRule="auto"/>
        <w:jc w:val="both"/>
        <w:rPr>
          <w:rFonts w:hint="eastAsia" w:ascii="宋体" w:hAnsi="宋体" w:eastAsia="宋体" w:cs="宋体"/>
          <w:b/>
          <w:bCs w:val="0"/>
          <w:color w:val="auto"/>
          <w:kern w:val="2"/>
          <w:sz w:val="21"/>
          <w:szCs w:val="21"/>
          <w:highlight w:val="none"/>
          <w:lang w:val="en-US" w:eastAsia="zh-CN"/>
        </w:rPr>
      </w:pPr>
      <w:bookmarkStart w:id="7" w:name="_Toc35393630"/>
      <w:bookmarkStart w:id="8" w:name="_Toc28359013"/>
      <w:bookmarkStart w:id="9" w:name="_Toc28359090"/>
      <w:bookmarkStart w:id="10" w:name="_Toc35393799"/>
      <w:r>
        <w:rPr>
          <w:rFonts w:hint="eastAsia" w:ascii="Times New Roman"/>
          <w:b/>
          <w:bCs w:val="0"/>
          <w:color w:val="auto"/>
          <w:sz w:val="21"/>
          <w:szCs w:val="21"/>
          <w:highlight w:val="none"/>
          <w:lang w:val="en-US"/>
        </w:rPr>
        <w:t>二</w:t>
      </w:r>
      <w:r>
        <w:rPr>
          <w:rFonts w:hint="eastAsia" w:ascii="宋体" w:hAnsi="宋体" w:eastAsia="宋体" w:cs="宋体"/>
          <w:b/>
          <w:bCs w:val="0"/>
          <w:color w:val="auto"/>
          <w:kern w:val="2"/>
          <w:sz w:val="21"/>
          <w:szCs w:val="21"/>
          <w:highlight w:val="none"/>
          <w:lang w:val="en-US" w:eastAsia="zh-CN"/>
        </w:rPr>
        <w:t>、申请人的资格要求：</w:t>
      </w:r>
      <w:bookmarkEnd w:id="7"/>
      <w:bookmarkEnd w:id="8"/>
      <w:bookmarkEnd w:id="9"/>
      <w:bookmarkEnd w:id="10"/>
    </w:p>
    <w:p w14:paraId="230689E6">
      <w:pPr>
        <w:spacing w:line="360" w:lineRule="auto"/>
        <w:ind w:firstLine="210" w:firstLineChars="100"/>
        <w:rPr>
          <w:rFonts w:hint="eastAsia" w:ascii="宋体" w:hAnsi="宋体" w:eastAsia="宋体" w:cs="宋体"/>
          <w:b w:val="0"/>
          <w:bCs w:val="0"/>
          <w:color w:val="auto"/>
          <w:kern w:val="2"/>
          <w:sz w:val="21"/>
          <w:szCs w:val="21"/>
          <w:highlight w:val="none"/>
          <w:lang w:val="en-US" w:eastAsia="zh-CN"/>
        </w:rPr>
      </w:pPr>
      <w:bookmarkStart w:id="11" w:name="_Toc28359091"/>
      <w:bookmarkStart w:id="12" w:name="_Toc35393631"/>
      <w:bookmarkStart w:id="13" w:name="_Toc28359014"/>
      <w:bookmarkStart w:id="14" w:name="_Toc35393800"/>
      <w:r>
        <w:rPr>
          <w:rFonts w:hint="eastAsia" w:ascii="宋体" w:hAnsi="宋体" w:eastAsia="宋体" w:cs="宋体"/>
          <w:b w:val="0"/>
          <w:bCs w:val="0"/>
          <w:color w:val="auto"/>
          <w:kern w:val="2"/>
          <w:sz w:val="21"/>
          <w:szCs w:val="21"/>
          <w:highlight w:val="none"/>
          <w:lang w:val="en-US" w:eastAsia="zh-CN"/>
        </w:rPr>
        <w:t>（一）满足《中华人民共和国政府</w:t>
      </w:r>
      <w:r>
        <w:rPr>
          <w:rFonts w:hint="eastAsia" w:cs="宋体"/>
          <w:b w:val="0"/>
          <w:bCs w:val="0"/>
          <w:color w:val="auto"/>
          <w:kern w:val="2"/>
          <w:sz w:val="21"/>
          <w:szCs w:val="21"/>
          <w:highlight w:val="none"/>
          <w:lang w:val="en-US" w:eastAsia="zh-CN"/>
        </w:rPr>
        <w:t>采购</w:t>
      </w:r>
      <w:r>
        <w:rPr>
          <w:rFonts w:hint="eastAsia" w:ascii="宋体" w:hAnsi="宋体" w:eastAsia="宋体" w:cs="宋体"/>
          <w:b w:val="0"/>
          <w:bCs w:val="0"/>
          <w:color w:val="auto"/>
          <w:kern w:val="2"/>
          <w:sz w:val="21"/>
          <w:szCs w:val="21"/>
          <w:highlight w:val="none"/>
          <w:lang w:val="en-US" w:eastAsia="zh-CN"/>
        </w:rPr>
        <w:t>法》第二十二条规定；</w:t>
      </w:r>
    </w:p>
    <w:p w14:paraId="330460CA">
      <w:pPr>
        <w:spacing w:line="360" w:lineRule="auto"/>
        <w:ind w:firstLine="210" w:firstLineChars="100"/>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（二）落实政府</w:t>
      </w:r>
      <w:r>
        <w:rPr>
          <w:rFonts w:hint="eastAsia" w:cs="宋体"/>
          <w:b w:val="0"/>
          <w:bCs w:val="0"/>
          <w:color w:val="auto"/>
          <w:kern w:val="2"/>
          <w:sz w:val="21"/>
          <w:szCs w:val="21"/>
          <w:highlight w:val="none"/>
          <w:lang w:val="en-US" w:eastAsia="zh-CN"/>
        </w:rPr>
        <w:t>采购</w:t>
      </w:r>
      <w:r>
        <w:rPr>
          <w:rFonts w:hint="eastAsia" w:ascii="宋体" w:hAnsi="宋体" w:eastAsia="宋体" w:cs="宋体"/>
          <w:b w:val="0"/>
          <w:bCs w:val="0"/>
          <w:color w:val="auto"/>
          <w:kern w:val="2"/>
          <w:sz w:val="21"/>
          <w:szCs w:val="21"/>
          <w:highlight w:val="none"/>
          <w:lang w:val="en-US" w:eastAsia="zh-CN"/>
        </w:rPr>
        <w:t>政策需满足的资格要求：</w:t>
      </w:r>
      <w:r>
        <w:rPr>
          <w:rFonts w:hint="eastAsia" w:cs="宋体"/>
          <w:b w:val="0"/>
          <w:bCs w:val="0"/>
          <w:color w:val="auto"/>
          <w:kern w:val="2"/>
          <w:sz w:val="21"/>
          <w:szCs w:val="21"/>
          <w:highlight w:val="none"/>
          <w:lang w:val="en-US" w:eastAsia="zh-CN"/>
        </w:rPr>
        <w:t>无</w:t>
      </w:r>
      <w:r>
        <w:rPr>
          <w:rFonts w:hint="eastAsia" w:ascii="宋体" w:hAnsi="宋体" w:eastAsia="宋体" w:cs="宋体"/>
          <w:b w:val="0"/>
          <w:bCs w:val="0"/>
          <w:color w:val="auto"/>
          <w:kern w:val="2"/>
          <w:sz w:val="21"/>
          <w:szCs w:val="21"/>
          <w:highlight w:val="none"/>
          <w:lang w:val="en-US" w:eastAsia="zh-CN"/>
        </w:rPr>
        <w:t>。</w:t>
      </w:r>
    </w:p>
    <w:p w14:paraId="4CCB8883">
      <w:pPr>
        <w:spacing w:line="360" w:lineRule="auto"/>
        <w:ind w:firstLine="210" w:firstLineChars="100"/>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（三）本项目的特定资格要求：</w:t>
      </w:r>
      <w:r>
        <w:rPr>
          <w:rFonts w:hint="eastAsia" w:cs="宋体"/>
          <w:b w:val="0"/>
          <w:bCs w:val="0"/>
          <w:color w:val="auto"/>
          <w:kern w:val="2"/>
          <w:sz w:val="21"/>
          <w:szCs w:val="21"/>
          <w:highlight w:val="none"/>
          <w:lang w:val="en-US" w:eastAsia="zh-CN"/>
        </w:rPr>
        <w:t>无</w:t>
      </w:r>
      <w:r>
        <w:rPr>
          <w:rFonts w:hint="eastAsia" w:ascii="宋体" w:hAnsi="宋体" w:eastAsia="宋体" w:cs="宋体"/>
          <w:b w:val="0"/>
          <w:bCs w:val="0"/>
          <w:color w:val="auto"/>
          <w:kern w:val="2"/>
          <w:sz w:val="21"/>
          <w:szCs w:val="21"/>
          <w:highlight w:val="none"/>
          <w:lang w:val="en-US" w:eastAsia="zh-CN"/>
        </w:rPr>
        <w:t>。</w:t>
      </w:r>
    </w:p>
    <w:p w14:paraId="253B4A15">
      <w:pPr>
        <w:spacing w:line="360" w:lineRule="auto"/>
        <w:jc w:val="both"/>
        <w:rPr>
          <w:b/>
          <w:color w:val="auto"/>
          <w:sz w:val="21"/>
          <w:szCs w:val="21"/>
          <w:highlight w:val="none"/>
          <w:lang w:val="en-US"/>
        </w:rPr>
      </w:pPr>
      <w:r>
        <w:rPr>
          <w:rFonts w:hint="eastAsia" w:ascii="Times New Roman"/>
          <w:b/>
          <w:color w:val="auto"/>
          <w:sz w:val="21"/>
          <w:szCs w:val="21"/>
          <w:highlight w:val="none"/>
          <w:lang w:val="en-US"/>
        </w:rPr>
        <w:t>三、获取采购文件</w:t>
      </w:r>
      <w:bookmarkEnd w:id="11"/>
      <w:bookmarkEnd w:id="12"/>
      <w:bookmarkEnd w:id="13"/>
      <w:bookmarkEnd w:id="14"/>
    </w:p>
    <w:p w14:paraId="52AD7DAB">
      <w:pPr>
        <w:spacing w:line="360" w:lineRule="auto"/>
        <w:ind w:firstLine="210" w:firstLineChars="100"/>
        <w:rPr>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rPr>
        <w:t>（一）</w:t>
      </w:r>
      <w:r>
        <w:rPr>
          <w:rFonts w:hint="eastAsia" w:ascii="Times New Roman" w:hAnsi="Times New Roman" w:eastAsia="宋体" w:cs="Times New Roman"/>
          <w:color w:val="auto"/>
          <w:kern w:val="2"/>
          <w:sz w:val="21"/>
          <w:szCs w:val="21"/>
          <w:highlight w:val="none"/>
          <w:lang w:val="en-US" w:eastAsia="zh-CN" w:bidi="ar-SA"/>
        </w:rPr>
        <w:t>获取</w:t>
      </w:r>
      <w:r>
        <w:rPr>
          <w:rFonts w:hint="eastAsia" w:ascii="Times New Roman"/>
          <w:color w:val="auto"/>
          <w:sz w:val="21"/>
          <w:szCs w:val="21"/>
          <w:highlight w:val="none"/>
          <w:lang w:val="en-US"/>
        </w:rPr>
        <w:t>时间：</w:t>
      </w:r>
      <w:r>
        <w:rPr>
          <w:rFonts w:hint="eastAsia" w:ascii="宋体" w:hAnsi="宋体" w:eastAsia="宋体" w:cs="宋体"/>
          <w:color w:val="auto"/>
          <w:sz w:val="21"/>
          <w:szCs w:val="21"/>
          <w:highlight w:val="none"/>
          <w:u w:val="single"/>
          <w:lang w:val="en-US" w:eastAsia="zh-CN"/>
        </w:rPr>
        <w:t xml:space="preserve">2025 </w:t>
      </w:r>
      <w:r>
        <w:rPr>
          <w:rFonts w:hint="eastAsia" w:ascii="宋体" w:hAnsi="宋体" w:eastAsia="宋体" w:cs="宋体"/>
          <w:color w:val="auto"/>
          <w:sz w:val="21"/>
          <w:szCs w:val="21"/>
          <w:highlight w:val="none"/>
          <w:u w:val="single"/>
          <w:lang w:val="en-US"/>
        </w:rPr>
        <w:t>年</w:t>
      </w:r>
      <w:r>
        <w:rPr>
          <w:rFonts w:hint="eastAsia" w:ascii="宋体" w:hAnsi="宋体" w:eastAsia="宋体" w:cs="宋体"/>
          <w:color w:val="auto"/>
          <w:sz w:val="21"/>
          <w:szCs w:val="21"/>
          <w:highlight w:val="none"/>
          <w:u w:val="single"/>
          <w:lang w:val="en-US" w:eastAsia="zh-CN"/>
        </w:rPr>
        <w:t xml:space="preserve"> 05 </w:t>
      </w:r>
      <w:r>
        <w:rPr>
          <w:rFonts w:hint="eastAsia" w:ascii="宋体" w:hAnsi="宋体" w:eastAsia="宋体" w:cs="宋体"/>
          <w:color w:val="auto"/>
          <w:sz w:val="21"/>
          <w:szCs w:val="21"/>
          <w:highlight w:val="none"/>
          <w:u w:val="single"/>
          <w:lang w:val="en-US"/>
        </w:rPr>
        <w:t>月</w:t>
      </w:r>
      <w:r>
        <w:rPr>
          <w:rFonts w:hint="eastAsia" w:ascii="宋体" w:hAnsi="宋体" w:eastAsia="宋体" w:cs="宋体"/>
          <w:color w:val="auto"/>
          <w:sz w:val="21"/>
          <w:szCs w:val="21"/>
          <w:highlight w:val="none"/>
          <w:u w:val="single"/>
          <w:lang w:val="en-US" w:eastAsia="zh-CN"/>
        </w:rPr>
        <w:t xml:space="preserve"> 09 </w:t>
      </w:r>
      <w:r>
        <w:rPr>
          <w:rFonts w:hint="eastAsia" w:ascii="宋体" w:hAnsi="宋体" w:eastAsia="宋体" w:cs="宋体"/>
          <w:color w:val="auto"/>
          <w:sz w:val="21"/>
          <w:szCs w:val="21"/>
          <w:highlight w:val="none"/>
          <w:u w:val="single"/>
          <w:lang w:val="en-US"/>
        </w:rPr>
        <w:t>日至</w:t>
      </w:r>
      <w:r>
        <w:rPr>
          <w:rFonts w:hint="eastAsia" w:ascii="宋体" w:hAnsi="宋体" w:eastAsia="宋体" w:cs="宋体"/>
          <w:color w:val="auto"/>
          <w:sz w:val="21"/>
          <w:szCs w:val="21"/>
          <w:highlight w:val="none"/>
          <w:u w:val="single"/>
          <w:lang w:val="en-US" w:eastAsia="zh-CN"/>
        </w:rPr>
        <w:t xml:space="preserve"> 2025 </w:t>
      </w:r>
      <w:r>
        <w:rPr>
          <w:rFonts w:hint="eastAsia" w:ascii="宋体" w:hAnsi="宋体" w:eastAsia="宋体" w:cs="宋体"/>
          <w:color w:val="auto"/>
          <w:sz w:val="21"/>
          <w:szCs w:val="21"/>
          <w:highlight w:val="none"/>
          <w:u w:val="single"/>
          <w:lang w:val="en-US"/>
        </w:rPr>
        <w:t>年</w:t>
      </w:r>
      <w:r>
        <w:rPr>
          <w:rFonts w:hint="eastAsia" w:ascii="宋体" w:hAnsi="宋体" w:eastAsia="宋体" w:cs="宋体"/>
          <w:color w:val="auto"/>
          <w:sz w:val="21"/>
          <w:szCs w:val="21"/>
          <w:highlight w:val="none"/>
          <w:u w:val="single"/>
          <w:lang w:val="en-US" w:eastAsia="zh-CN"/>
        </w:rPr>
        <w:t xml:space="preserve"> 05 </w:t>
      </w:r>
      <w:r>
        <w:rPr>
          <w:rFonts w:hint="eastAsia" w:ascii="宋体" w:hAnsi="宋体" w:eastAsia="宋体" w:cs="宋体"/>
          <w:color w:val="auto"/>
          <w:sz w:val="21"/>
          <w:szCs w:val="21"/>
          <w:highlight w:val="none"/>
          <w:u w:val="single"/>
          <w:lang w:val="en-US"/>
        </w:rPr>
        <w:t>月</w:t>
      </w:r>
      <w:r>
        <w:rPr>
          <w:rFonts w:hint="eastAsia" w:ascii="宋体" w:hAnsi="宋体" w:eastAsia="宋体" w:cs="宋体"/>
          <w:color w:val="auto"/>
          <w:sz w:val="21"/>
          <w:szCs w:val="21"/>
          <w:highlight w:val="none"/>
          <w:u w:val="single"/>
          <w:lang w:val="en-US" w:eastAsia="zh-CN"/>
        </w:rPr>
        <w:t xml:space="preserve"> 16 </w:t>
      </w:r>
      <w:r>
        <w:rPr>
          <w:rFonts w:hint="eastAsia" w:ascii="宋体" w:hAnsi="宋体" w:eastAsia="宋体" w:cs="宋体"/>
          <w:color w:val="auto"/>
          <w:sz w:val="21"/>
          <w:szCs w:val="21"/>
          <w:highlight w:val="none"/>
          <w:u w:val="single"/>
          <w:lang w:val="en-US"/>
        </w:rPr>
        <w:t>日</w:t>
      </w:r>
      <w:r>
        <w:rPr>
          <w:rFonts w:hint="eastAsia" w:ascii="宋体" w:hAnsi="宋体" w:eastAsia="宋体" w:cs="宋体"/>
          <w:color w:val="auto"/>
          <w:sz w:val="21"/>
          <w:szCs w:val="21"/>
          <w:highlight w:val="none"/>
          <w:lang w:val="en-US"/>
        </w:rPr>
        <w:t>（北京时间，法定节假日除外）</w:t>
      </w:r>
    </w:p>
    <w:p w14:paraId="27A612E1">
      <w:pPr>
        <w:spacing w:line="360" w:lineRule="auto"/>
        <w:ind w:firstLine="210" w:firstLineChars="100"/>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（二）</w:t>
      </w:r>
      <w:r>
        <w:rPr>
          <w:rFonts w:hint="eastAsia" w:ascii="Times New Roman" w:hAnsi="Times New Roman" w:eastAsia="宋体" w:cs="Times New Roman"/>
          <w:color w:val="auto"/>
          <w:kern w:val="2"/>
          <w:sz w:val="21"/>
          <w:szCs w:val="21"/>
          <w:highlight w:val="none"/>
          <w:lang w:val="en-US" w:eastAsia="zh-CN" w:bidi="ar-SA"/>
        </w:rPr>
        <w:t>获取地点</w:t>
      </w:r>
      <w:r>
        <w:rPr>
          <w:rFonts w:hint="eastAsia" w:ascii="Times New Roman" w:hAnsi="Times New Roman" w:cs="Times New Roman"/>
          <w:color w:val="auto"/>
          <w:kern w:val="2"/>
          <w:sz w:val="21"/>
          <w:szCs w:val="21"/>
          <w:highlight w:val="none"/>
          <w:lang w:val="en-US" w:eastAsia="zh-CN" w:bidi="ar-SA"/>
        </w:rPr>
        <w:t>：</w:t>
      </w:r>
      <w:r>
        <w:rPr>
          <w:rFonts w:hint="eastAsia" w:cs="宋体"/>
          <w:color w:val="auto"/>
          <w:sz w:val="21"/>
          <w:szCs w:val="21"/>
          <w:highlight w:val="none"/>
          <w:u w:val="none"/>
          <w:lang w:val="en-US" w:eastAsia="zh-CN"/>
        </w:rPr>
        <w:t>广西瑞真工程造价咨询有限责任公司</w:t>
      </w:r>
      <w:r>
        <w:rPr>
          <w:rFonts w:hint="eastAsia" w:ascii="宋体" w:hAnsi="宋体" w:eastAsia="宋体" w:cs="宋体"/>
          <w:color w:val="auto"/>
          <w:sz w:val="21"/>
          <w:szCs w:val="21"/>
          <w:highlight w:val="none"/>
          <w:u w:val="none"/>
          <w:lang w:val="en-US"/>
        </w:rPr>
        <w:t>（</w:t>
      </w:r>
      <w:r>
        <w:rPr>
          <w:rFonts w:hint="eastAsia" w:ascii="宋体" w:hAnsi="宋体" w:eastAsia="宋体" w:cs="宋体"/>
          <w:b w:val="0"/>
          <w:bCs w:val="0"/>
          <w:color w:val="auto"/>
          <w:kern w:val="2"/>
          <w:sz w:val="21"/>
          <w:szCs w:val="21"/>
          <w:highlight w:val="none"/>
          <w:u w:val="none"/>
          <w:lang w:val="en-US" w:eastAsia="zh-CN"/>
        </w:rPr>
        <w:t>北海市重庆路发展大厦A座701室</w:t>
      </w:r>
      <w:r>
        <w:rPr>
          <w:rFonts w:hint="eastAsia" w:ascii="宋体" w:hAnsi="宋体" w:eastAsia="宋体" w:cs="宋体"/>
          <w:color w:val="auto"/>
          <w:sz w:val="21"/>
          <w:szCs w:val="21"/>
          <w:highlight w:val="none"/>
          <w:u w:val="none"/>
          <w:lang w:val="en-US"/>
        </w:rPr>
        <w:t>）</w:t>
      </w:r>
    </w:p>
    <w:p w14:paraId="5A7F3343">
      <w:pPr>
        <w:spacing w:line="360" w:lineRule="auto"/>
        <w:ind w:firstLine="210" w:firstLineChars="100"/>
        <w:jc w:val="both"/>
        <w:rPr>
          <w:color w:val="auto"/>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bidi="ar-SA"/>
        </w:rPr>
        <w:t>（三）获取方式：</w:t>
      </w:r>
      <w:r>
        <w:rPr>
          <w:rFonts w:hint="eastAsia" w:ascii="Times New Roman" w:hAnsi="Times New Roman" w:cs="Times New Roman"/>
          <w:color w:val="auto"/>
          <w:kern w:val="2"/>
          <w:sz w:val="21"/>
          <w:szCs w:val="21"/>
          <w:highlight w:val="none"/>
          <w:lang w:val="en-US" w:eastAsia="zh-CN" w:bidi="ar-SA"/>
        </w:rPr>
        <w:t>现场购买。</w:t>
      </w:r>
      <w:r>
        <w:rPr>
          <w:rFonts w:hint="eastAsia"/>
          <w:color w:val="auto"/>
          <w:sz w:val="21"/>
          <w:szCs w:val="21"/>
          <w:highlight w:val="none"/>
        </w:rPr>
        <w:t>法定代表人或委托代理人携带以下证件</w:t>
      </w:r>
      <w:r>
        <w:rPr>
          <w:rFonts w:hint="eastAsia"/>
          <w:color w:val="auto"/>
          <w:sz w:val="21"/>
          <w:szCs w:val="21"/>
          <w:highlight w:val="none"/>
          <w:lang w:eastAsia="zh-CN"/>
        </w:rPr>
        <w:t>：</w:t>
      </w:r>
      <w:r>
        <w:rPr>
          <w:rFonts w:hint="eastAsia"/>
          <w:color w:val="auto"/>
          <w:sz w:val="21"/>
          <w:szCs w:val="21"/>
          <w:highlight w:val="none"/>
        </w:rPr>
        <w:t>（1）居民身份证；（2）法定代表人身份证明书原件（法定代表人提供）或法定代表人的授权委托书原件（委托代理人）；（3）</w:t>
      </w:r>
      <w:r>
        <w:rPr>
          <w:rFonts w:hint="eastAsia"/>
          <w:color w:val="auto"/>
          <w:sz w:val="21"/>
          <w:szCs w:val="21"/>
          <w:highlight w:val="none"/>
          <w:lang w:eastAsia="zh-CN"/>
        </w:rPr>
        <w:t>磋商</w:t>
      </w:r>
      <w:r>
        <w:rPr>
          <w:rFonts w:hint="eastAsia"/>
          <w:color w:val="auto"/>
          <w:sz w:val="21"/>
          <w:szCs w:val="21"/>
          <w:highlight w:val="none"/>
        </w:rPr>
        <w:t>供应商营业执照副本复印件。以上证件均需提供原件（现场核查后退回）和复印件一份加盖单位公章〔授权委托书为原件〕。</w:t>
      </w:r>
    </w:p>
    <w:p w14:paraId="0577B344">
      <w:pPr>
        <w:spacing w:line="360" w:lineRule="auto"/>
        <w:ind w:firstLine="210" w:firstLineChars="1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（四）费用：采购文件收取工本费人民币300元/套；</w:t>
      </w:r>
      <w:r>
        <w:rPr>
          <w:rFonts w:hint="eastAsia" w:ascii="Times New Roman" w:hAnsi="Times New Roman" w:cs="Times New Roman"/>
          <w:color w:val="auto"/>
          <w:kern w:val="2"/>
          <w:sz w:val="21"/>
          <w:szCs w:val="21"/>
          <w:highlight w:val="none"/>
          <w:lang w:val="en-US" w:eastAsia="zh-CN" w:bidi="ar-SA"/>
        </w:rPr>
        <w:t>售</w:t>
      </w:r>
      <w:r>
        <w:rPr>
          <w:rFonts w:hint="eastAsia" w:ascii="Times New Roman" w:hAnsi="Times New Roman" w:eastAsia="宋体" w:cs="Times New Roman"/>
          <w:color w:val="auto"/>
          <w:kern w:val="2"/>
          <w:sz w:val="21"/>
          <w:szCs w:val="21"/>
          <w:highlight w:val="none"/>
          <w:lang w:val="en-US" w:eastAsia="zh-CN" w:bidi="ar-SA"/>
        </w:rPr>
        <w:t>后不退。</w:t>
      </w:r>
    </w:p>
    <w:p w14:paraId="632E310F">
      <w:pPr>
        <w:spacing w:line="360" w:lineRule="auto"/>
        <w:jc w:val="both"/>
        <w:rPr>
          <w:b/>
          <w:color w:val="auto"/>
          <w:sz w:val="21"/>
          <w:szCs w:val="21"/>
          <w:highlight w:val="none"/>
          <w:lang w:val="en-US"/>
        </w:rPr>
      </w:pPr>
      <w:bookmarkStart w:id="15" w:name="_Toc28359015"/>
      <w:bookmarkStart w:id="16" w:name="_Toc28359092"/>
      <w:bookmarkStart w:id="17" w:name="_Toc35393632"/>
      <w:bookmarkStart w:id="18" w:name="_Toc35393801"/>
      <w:r>
        <w:rPr>
          <w:rFonts w:hint="eastAsia" w:ascii="Times New Roman"/>
          <w:b/>
          <w:color w:val="auto"/>
          <w:sz w:val="21"/>
          <w:szCs w:val="21"/>
          <w:highlight w:val="none"/>
          <w:lang w:val="en-US"/>
        </w:rPr>
        <w:t>四、响应文件提交</w:t>
      </w:r>
      <w:bookmarkEnd w:id="15"/>
      <w:bookmarkEnd w:id="16"/>
      <w:bookmarkEnd w:id="17"/>
      <w:bookmarkEnd w:id="18"/>
    </w:p>
    <w:p w14:paraId="5B955662">
      <w:pPr>
        <w:spacing w:line="360" w:lineRule="auto"/>
        <w:ind w:firstLine="210" w:firstLineChars="100"/>
        <w:jc w:val="both"/>
        <w:rPr>
          <w:color w:val="auto"/>
          <w:sz w:val="21"/>
          <w:szCs w:val="21"/>
          <w:highlight w:val="none"/>
          <w:u w:val="single"/>
          <w:lang w:val="en-US"/>
        </w:rPr>
      </w:pPr>
      <w:r>
        <w:rPr>
          <w:rFonts w:hint="eastAsia" w:ascii="宋体" w:hAnsi="宋体" w:eastAsia="宋体" w:cs="宋体"/>
          <w:b w:val="0"/>
          <w:bCs w:val="0"/>
          <w:color w:val="auto"/>
          <w:kern w:val="2"/>
          <w:sz w:val="21"/>
          <w:szCs w:val="21"/>
          <w:highlight w:val="none"/>
          <w:lang w:val="en-US" w:eastAsia="zh-CN"/>
        </w:rPr>
        <w:t>（一）</w:t>
      </w:r>
      <w:r>
        <w:rPr>
          <w:rFonts w:hint="eastAsia" w:ascii="Times New Roman"/>
          <w:color w:val="auto"/>
          <w:sz w:val="21"/>
          <w:szCs w:val="21"/>
          <w:highlight w:val="none"/>
          <w:lang w:val="en-US"/>
        </w:rPr>
        <w:t>截止时间：</w:t>
      </w:r>
      <w:r>
        <w:rPr>
          <w:rFonts w:hint="eastAsia" w:ascii="Times New Roman"/>
          <w:color w:val="auto"/>
          <w:sz w:val="21"/>
          <w:szCs w:val="21"/>
          <w:highlight w:val="none"/>
          <w:u w:val="single"/>
          <w:lang w:val="en-US"/>
        </w:rPr>
        <w:t>202</w:t>
      </w:r>
      <w:r>
        <w:rPr>
          <w:rFonts w:hint="eastAsia" w:ascii="Times New Roman"/>
          <w:color w:val="auto"/>
          <w:sz w:val="21"/>
          <w:szCs w:val="21"/>
          <w:highlight w:val="none"/>
          <w:u w:val="single"/>
          <w:lang w:val="en-US" w:eastAsia="zh-CN"/>
        </w:rPr>
        <w:t xml:space="preserve">5 </w:t>
      </w:r>
      <w:r>
        <w:rPr>
          <w:rFonts w:hint="eastAsia" w:ascii="Times New Roman"/>
          <w:color w:val="auto"/>
          <w:sz w:val="21"/>
          <w:szCs w:val="21"/>
          <w:highlight w:val="none"/>
          <w:u w:val="single"/>
          <w:lang w:val="en-US"/>
        </w:rPr>
        <w:t>年</w:t>
      </w:r>
      <w:r>
        <w:rPr>
          <w:rFonts w:hint="eastAsia" w:ascii="Times New Roman"/>
          <w:color w:val="auto"/>
          <w:sz w:val="21"/>
          <w:szCs w:val="21"/>
          <w:highlight w:val="none"/>
          <w:u w:val="single"/>
          <w:lang w:val="en-US" w:eastAsia="zh-CN"/>
        </w:rPr>
        <w:t xml:space="preserve"> 05 </w:t>
      </w:r>
      <w:r>
        <w:rPr>
          <w:rFonts w:hint="eastAsia" w:ascii="Times New Roman"/>
          <w:color w:val="auto"/>
          <w:sz w:val="21"/>
          <w:szCs w:val="21"/>
          <w:highlight w:val="none"/>
          <w:u w:val="single"/>
          <w:lang w:val="en-US"/>
        </w:rPr>
        <w:t>月</w:t>
      </w:r>
      <w:r>
        <w:rPr>
          <w:rFonts w:hint="eastAsia" w:ascii="Times New Roman"/>
          <w:color w:val="auto"/>
          <w:sz w:val="21"/>
          <w:szCs w:val="21"/>
          <w:highlight w:val="none"/>
          <w:u w:val="single"/>
          <w:lang w:val="en-US" w:eastAsia="zh-CN"/>
        </w:rPr>
        <w:t xml:space="preserve"> 19 </w:t>
      </w:r>
      <w:r>
        <w:rPr>
          <w:rFonts w:hint="eastAsia" w:ascii="Times New Roman"/>
          <w:color w:val="auto"/>
          <w:sz w:val="21"/>
          <w:szCs w:val="21"/>
          <w:highlight w:val="none"/>
          <w:u w:val="single"/>
          <w:lang w:val="en-US"/>
        </w:rPr>
        <w:t>日</w:t>
      </w:r>
      <w:r>
        <w:rPr>
          <w:rFonts w:hint="eastAsia" w:ascii="Times New Roman"/>
          <w:color w:val="auto"/>
          <w:sz w:val="21"/>
          <w:szCs w:val="21"/>
          <w:highlight w:val="none"/>
          <w:u w:val="single"/>
          <w:lang w:val="en-US" w:eastAsia="zh-CN"/>
        </w:rPr>
        <w:t xml:space="preserve"> 09 </w:t>
      </w:r>
      <w:r>
        <w:rPr>
          <w:rFonts w:hint="eastAsia" w:ascii="Times New Roman"/>
          <w:color w:val="auto"/>
          <w:sz w:val="21"/>
          <w:szCs w:val="21"/>
          <w:highlight w:val="none"/>
          <w:u w:val="single"/>
          <w:lang w:val="en-US"/>
        </w:rPr>
        <w:t>时</w:t>
      </w:r>
      <w:r>
        <w:rPr>
          <w:rFonts w:hint="eastAsia" w:ascii="Times New Roman"/>
          <w:color w:val="auto"/>
          <w:sz w:val="21"/>
          <w:szCs w:val="21"/>
          <w:highlight w:val="none"/>
          <w:u w:val="single"/>
          <w:lang w:val="en-US" w:eastAsia="zh-CN"/>
        </w:rPr>
        <w:t xml:space="preserve"> 30 </w:t>
      </w:r>
      <w:r>
        <w:rPr>
          <w:rFonts w:hint="eastAsia" w:ascii="Times New Roman"/>
          <w:color w:val="auto"/>
          <w:sz w:val="21"/>
          <w:szCs w:val="21"/>
          <w:highlight w:val="none"/>
          <w:u w:val="single"/>
          <w:lang w:val="en-US"/>
        </w:rPr>
        <w:t>分（北京时间）</w:t>
      </w:r>
    </w:p>
    <w:p w14:paraId="1DBC5925">
      <w:pPr>
        <w:spacing w:line="360" w:lineRule="auto"/>
        <w:ind w:firstLine="210" w:firstLineChars="100"/>
        <w:jc w:val="both"/>
        <w:rPr>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rPr>
        <w:t>（</w:t>
      </w:r>
      <w:r>
        <w:rPr>
          <w:rFonts w:hint="eastAsia" w:cs="宋体"/>
          <w:b w:val="0"/>
          <w:bCs w:val="0"/>
          <w:color w:val="auto"/>
          <w:kern w:val="2"/>
          <w:sz w:val="21"/>
          <w:szCs w:val="21"/>
          <w:highlight w:val="none"/>
          <w:lang w:val="en-US" w:eastAsia="zh-CN"/>
        </w:rPr>
        <w:t>二</w:t>
      </w:r>
      <w:r>
        <w:rPr>
          <w:rFonts w:hint="eastAsia" w:ascii="宋体" w:hAnsi="宋体" w:eastAsia="宋体" w:cs="宋体"/>
          <w:b w:val="0"/>
          <w:bCs w:val="0"/>
          <w:color w:val="auto"/>
          <w:kern w:val="2"/>
          <w:sz w:val="21"/>
          <w:szCs w:val="21"/>
          <w:highlight w:val="none"/>
          <w:lang w:val="en-US" w:eastAsia="zh-CN"/>
        </w:rPr>
        <w:t>）</w:t>
      </w:r>
      <w:r>
        <w:rPr>
          <w:rFonts w:hint="eastAsia" w:ascii="Times New Roman"/>
          <w:color w:val="auto"/>
          <w:sz w:val="21"/>
          <w:szCs w:val="21"/>
          <w:highlight w:val="none"/>
          <w:lang w:val="en-US"/>
        </w:rPr>
        <w:t>地点：广西瑞真工程造价咨询有限责任公司开标室（北海市重庆路发展大厦</w:t>
      </w:r>
      <w:r>
        <w:rPr>
          <w:rFonts w:ascii="Times New Roman"/>
          <w:color w:val="auto"/>
          <w:sz w:val="21"/>
          <w:szCs w:val="21"/>
          <w:highlight w:val="none"/>
          <w:lang w:val="en-US"/>
        </w:rPr>
        <w:t>A</w:t>
      </w:r>
      <w:r>
        <w:rPr>
          <w:rFonts w:hint="eastAsia" w:ascii="Times New Roman"/>
          <w:color w:val="auto"/>
          <w:sz w:val="21"/>
          <w:szCs w:val="21"/>
          <w:highlight w:val="none"/>
          <w:lang w:val="en-US"/>
        </w:rPr>
        <w:t>座</w:t>
      </w:r>
      <w:r>
        <w:rPr>
          <w:rFonts w:ascii="Times New Roman"/>
          <w:color w:val="auto"/>
          <w:sz w:val="21"/>
          <w:szCs w:val="21"/>
          <w:highlight w:val="none"/>
          <w:lang w:val="en-US"/>
        </w:rPr>
        <w:t>701</w:t>
      </w:r>
      <w:r>
        <w:rPr>
          <w:rFonts w:hint="eastAsia" w:ascii="Times New Roman"/>
          <w:color w:val="auto"/>
          <w:sz w:val="21"/>
          <w:szCs w:val="21"/>
          <w:highlight w:val="none"/>
          <w:lang w:val="en-US"/>
        </w:rPr>
        <w:t>室）</w:t>
      </w:r>
    </w:p>
    <w:p w14:paraId="6B89ADA7">
      <w:pPr>
        <w:spacing w:line="360" w:lineRule="auto"/>
        <w:jc w:val="both"/>
        <w:rPr>
          <w:b/>
          <w:color w:val="auto"/>
          <w:sz w:val="21"/>
          <w:szCs w:val="21"/>
          <w:highlight w:val="none"/>
          <w:lang w:val="en-US"/>
        </w:rPr>
      </w:pPr>
      <w:bookmarkStart w:id="19" w:name="_Toc35393802"/>
      <w:bookmarkStart w:id="20" w:name="_Toc28359093"/>
      <w:bookmarkStart w:id="21" w:name="_Toc28359016"/>
      <w:bookmarkStart w:id="22" w:name="_Toc35393633"/>
      <w:r>
        <w:rPr>
          <w:rFonts w:hint="eastAsia" w:ascii="Times New Roman"/>
          <w:b/>
          <w:color w:val="auto"/>
          <w:sz w:val="21"/>
          <w:szCs w:val="21"/>
          <w:highlight w:val="none"/>
          <w:lang w:val="en-US"/>
        </w:rPr>
        <w:t>五、响应文</w:t>
      </w:r>
      <w:r>
        <w:rPr>
          <w:rFonts w:hint="eastAsia" w:ascii="Times New Roman"/>
          <w:b/>
          <w:color w:val="auto"/>
          <w:sz w:val="21"/>
          <w:szCs w:val="21"/>
          <w:highlight w:val="none"/>
          <w:lang w:val="en-US" w:eastAsia="zh-CN"/>
        </w:rPr>
        <w:t>件</w:t>
      </w:r>
      <w:r>
        <w:rPr>
          <w:rFonts w:hint="eastAsia" w:ascii="Times New Roman"/>
          <w:b/>
          <w:color w:val="auto"/>
          <w:sz w:val="21"/>
          <w:szCs w:val="21"/>
          <w:highlight w:val="none"/>
          <w:lang w:val="en-US"/>
        </w:rPr>
        <w:t>开启</w:t>
      </w:r>
      <w:bookmarkEnd w:id="19"/>
      <w:bookmarkEnd w:id="20"/>
      <w:bookmarkEnd w:id="21"/>
      <w:bookmarkEnd w:id="22"/>
    </w:p>
    <w:p w14:paraId="055181CA">
      <w:pPr>
        <w:spacing w:line="360" w:lineRule="auto"/>
        <w:ind w:firstLine="210" w:firstLineChars="100"/>
        <w:jc w:val="both"/>
        <w:rPr>
          <w:color w:val="auto"/>
          <w:sz w:val="21"/>
          <w:szCs w:val="21"/>
          <w:highlight w:val="none"/>
          <w:u w:val="single"/>
          <w:lang w:val="en-US"/>
        </w:rPr>
      </w:pPr>
      <w:r>
        <w:rPr>
          <w:rFonts w:hint="eastAsia" w:ascii="宋体" w:hAnsi="宋体" w:eastAsia="宋体" w:cs="宋体"/>
          <w:b w:val="0"/>
          <w:bCs w:val="0"/>
          <w:color w:val="auto"/>
          <w:kern w:val="2"/>
          <w:sz w:val="21"/>
          <w:szCs w:val="21"/>
          <w:highlight w:val="none"/>
          <w:lang w:val="en-US" w:eastAsia="zh-CN"/>
        </w:rPr>
        <w:t>（一）</w:t>
      </w:r>
      <w:r>
        <w:rPr>
          <w:rFonts w:hint="eastAsia" w:ascii="Times New Roman"/>
          <w:color w:val="auto"/>
          <w:sz w:val="21"/>
          <w:szCs w:val="21"/>
          <w:highlight w:val="none"/>
          <w:lang w:val="en-US"/>
        </w:rPr>
        <w:t>时间：</w:t>
      </w:r>
      <w:r>
        <w:rPr>
          <w:rFonts w:hint="eastAsia" w:ascii="Times New Roman"/>
          <w:color w:val="auto"/>
          <w:sz w:val="21"/>
          <w:szCs w:val="21"/>
          <w:highlight w:val="none"/>
          <w:u w:val="single"/>
          <w:lang w:val="en-US"/>
        </w:rPr>
        <w:t>202</w:t>
      </w:r>
      <w:r>
        <w:rPr>
          <w:rFonts w:hint="eastAsia" w:ascii="Times New Roman"/>
          <w:color w:val="auto"/>
          <w:sz w:val="21"/>
          <w:szCs w:val="21"/>
          <w:highlight w:val="none"/>
          <w:u w:val="single"/>
          <w:lang w:val="en-US" w:eastAsia="zh-CN"/>
        </w:rPr>
        <w:t>5</w:t>
      </w:r>
      <w:r>
        <w:rPr>
          <w:rFonts w:hint="eastAsia" w:ascii="Times New Roman"/>
          <w:color w:val="auto"/>
          <w:sz w:val="21"/>
          <w:szCs w:val="21"/>
          <w:highlight w:val="none"/>
          <w:u w:val="single"/>
          <w:lang w:val="en-US"/>
        </w:rPr>
        <w:t>年</w:t>
      </w:r>
      <w:r>
        <w:rPr>
          <w:rFonts w:hint="eastAsia" w:ascii="Times New Roman"/>
          <w:color w:val="auto"/>
          <w:sz w:val="21"/>
          <w:szCs w:val="21"/>
          <w:highlight w:val="none"/>
          <w:u w:val="single"/>
          <w:lang w:val="en-US" w:eastAsia="zh-CN"/>
        </w:rPr>
        <w:t xml:space="preserve"> 05 </w:t>
      </w:r>
      <w:r>
        <w:rPr>
          <w:rFonts w:hint="eastAsia" w:ascii="Times New Roman"/>
          <w:color w:val="auto"/>
          <w:sz w:val="21"/>
          <w:szCs w:val="21"/>
          <w:highlight w:val="none"/>
          <w:u w:val="single"/>
          <w:lang w:val="en-US"/>
        </w:rPr>
        <w:t>月</w:t>
      </w:r>
      <w:r>
        <w:rPr>
          <w:rFonts w:hint="eastAsia" w:ascii="Times New Roman"/>
          <w:color w:val="auto"/>
          <w:sz w:val="21"/>
          <w:szCs w:val="21"/>
          <w:highlight w:val="none"/>
          <w:u w:val="single"/>
          <w:lang w:val="en-US" w:eastAsia="zh-CN"/>
        </w:rPr>
        <w:t xml:space="preserve"> 19 </w:t>
      </w:r>
      <w:r>
        <w:rPr>
          <w:rFonts w:hint="eastAsia" w:ascii="Times New Roman"/>
          <w:color w:val="auto"/>
          <w:sz w:val="21"/>
          <w:szCs w:val="21"/>
          <w:highlight w:val="none"/>
          <w:u w:val="single"/>
          <w:lang w:val="en-US"/>
        </w:rPr>
        <w:t>日</w:t>
      </w:r>
      <w:r>
        <w:rPr>
          <w:rFonts w:hint="eastAsia" w:ascii="Times New Roman"/>
          <w:color w:val="auto"/>
          <w:sz w:val="21"/>
          <w:szCs w:val="21"/>
          <w:highlight w:val="none"/>
          <w:u w:val="single"/>
          <w:lang w:val="en-US" w:eastAsia="zh-CN"/>
        </w:rPr>
        <w:t xml:space="preserve"> 09 </w:t>
      </w:r>
      <w:r>
        <w:rPr>
          <w:rFonts w:hint="eastAsia" w:ascii="Times New Roman"/>
          <w:color w:val="auto"/>
          <w:sz w:val="21"/>
          <w:szCs w:val="21"/>
          <w:highlight w:val="none"/>
          <w:u w:val="single"/>
          <w:lang w:val="en-US"/>
        </w:rPr>
        <w:t>时</w:t>
      </w:r>
      <w:r>
        <w:rPr>
          <w:rFonts w:hint="eastAsia" w:ascii="Times New Roman"/>
          <w:color w:val="auto"/>
          <w:sz w:val="21"/>
          <w:szCs w:val="21"/>
          <w:highlight w:val="none"/>
          <w:u w:val="single"/>
          <w:lang w:val="en-US" w:eastAsia="zh-CN"/>
        </w:rPr>
        <w:t xml:space="preserve"> 30 </w:t>
      </w:r>
      <w:r>
        <w:rPr>
          <w:rFonts w:hint="eastAsia" w:ascii="Times New Roman"/>
          <w:color w:val="auto"/>
          <w:sz w:val="21"/>
          <w:szCs w:val="21"/>
          <w:highlight w:val="none"/>
          <w:u w:val="single"/>
          <w:lang w:val="en-US"/>
        </w:rPr>
        <w:t>分（北京时间）</w:t>
      </w:r>
    </w:p>
    <w:p w14:paraId="5D064C31">
      <w:pPr>
        <w:spacing w:line="360" w:lineRule="auto"/>
        <w:ind w:firstLine="210" w:firstLineChars="100"/>
        <w:jc w:val="both"/>
        <w:rPr>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rPr>
        <w:t>（</w:t>
      </w:r>
      <w:r>
        <w:rPr>
          <w:rFonts w:hint="eastAsia" w:cs="宋体"/>
          <w:b w:val="0"/>
          <w:bCs w:val="0"/>
          <w:color w:val="auto"/>
          <w:kern w:val="2"/>
          <w:sz w:val="21"/>
          <w:szCs w:val="21"/>
          <w:highlight w:val="none"/>
          <w:lang w:val="en-US" w:eastAsia="zh-CN"/>
        </w:rPr>
        <w:t>二</w:t>
      </w:r>
      <w:r>
        <w:rPr>
          <w:rFonts w:hint="eastAsia" w:ascii="宋体" w:hAnsi="宋体" w:eastAsia="宋体" w:cs="宋体"/>
          <w:b w:val="0"/>
          <w:bCs w:val="0"/>
          <w:color w:val="auto"/>
          <w:kern w:val="2"/>
          <w:sz w:val="21"/>
          <w:szCs w:val="21"/>
          <w:highlight w:val="none"/>
          <w:lang w:val="en-US" w:eastAsia="zh-CN"/>
        </w:rPr>
        <w:t>）</w:t>
      </w:r>
      <w:r>
        <w:rPr>
          <w:rFonts w:hint="eastAsia" w:ascii="Times New Roman"/>
          <w:color w:val="auto"/>
          <w:sz w:val="21"/>
          <w:szCs w:val="21"/>
          <w:highlight w:val="none"/>
          <w:lang w:val="en-US"/>
        </w:rPr>
        <w:t>地点：</w:t>
      </w:r>
      <w:bookmarkStart w:id="23" w:name="_Toc28359017"/>
      <w:bookmarkStart w:id="24" w:name="_Toc28359094"/>
      <w:bookmarkStart w:id="25" w:name="_Toc35393634"/>
      <w:bookmarkStart w:id="26" w:name="_Toc35393803"/>
      <w:r>
        <w:rPr>
          <w:rFonts w:hint="eastAsia" w:ascii="Times New Roman"/>
          <w:color w:val="auto"/>
          <w:sz w:val="21"/>
          <w:szCs w:val="21"/>
          <w:highlight w:val="none"/>
          <w:lang w:val="en-US"/>
        </w:rPr>
        <w:t>广西瑞真工程造价咨询有限责任公司</w:t>
      </w:r>
      <w:r>
        <w:rPr>
          <w:rFonts w:hint="eastAsia" w:ascii="Times New Roman"/>
          <w:color w:val="auto"/>
          <w:sz w:val="21"/>
          <w:szCs w:val="21"/>
          <w:highlight w:val="none"/>
          <w:lang w:val="en-US" w:eastAsia="zh-CN"/>
        </w:rPr>
        <w:t>评标</w:t>
      </w:r>
      <w:r>
        <w:rPr>
          <w:rFonts w:hint="eastAsia" w:ascii="Times New Roman"/>
          <w:color w:val="auto"/>
          <w:sz w:val="21"/>
          <w:szCs w:val="21"/>
          <w:highlight w:val="none"/>
          <w:lang w:val="en-US"/>
        </w:rPr>
        <w:t>室（北海市重庆路发展大厦</w:t>
      </w:r>
      <w:r>
        <w:rPr>
          <w:rFonts w:ascii="Times New Roman"/>
          <w:color w:val="auto"/>
          <w:sz w:val="21"/>
          <w:szCs w:val="21"/>
          <w:highlight w:val="none"/>
          <w:lang w:val="en-US"/>
        </w:rPr>
        <w:t>A</w:t>
      </w:r>
      <w:r>
        <w:rPr>
          <w:rFonts w:hint="eastAsia" w:ascii="Times New Roman"/>
          <w:color w:val="auto"/>
          <w:sz w:val="21"/>
          <w:szCs w:val="21"/>
          <w:highlight w:val="none"/>
          <w:lang w:val="en-US"/>
        </w:rPr>
        <w:t>座</w:t>
      </w:r>
      <w:r>
        <w:rPr>
          <w:rFonts w:ascii="Times New Roman"/>
          <w:color w:val="auto"/>
          <w:sz w:val="21"/>
          <w:szCs w:val="21"/>
          <w:highlight w:val="none"/>
          <w:lang w:val="en-US"/>
        </w:rPr>
        <w:t>701</w:t>
      </w:r>
      <w:r>
        <w:rPr>
          <w:rFonts w:hint="eastAsia" w:ascii="Times New Roman"/>
          <w:color w:val="auto"/>
          <w:sz w:val="21"/>
          <w:szCs w:val="21"/>
          <w:highlight w:val="none"/>
          <w:lang w:val="en-US"/>
        </w:rPr>
        <w:t>室）</w:t>
      </w:r>
    </w:p>
    <w:p w14:paraId="1DDBC127">
      <w:pPr>
        <w:spacing w:line="360" w:lineRule="auto"/>
        <w:jc w:val="both"/>
        <w:rPr>
          <w:b/>
          <w:color w:val="auto"/>
          <w:sz w:val="21"/>
          <w:szCs w:val="21"/>
          <w:highlight w:val="none"/>
          <w:lang w:val="en-US"/>
        </w:rPr>
      </w:pPr>
      <w:r>
        <w:rPr>
          <w:rFonts w:hint="eastAsia" w:ascii="Times New Roman"/>
          <w:b/>
          <w:color w:val="auto"/>
          <w:sz w:val="21"/>
          <w:szCs w:val="21"/>
          <w:highlight w:val="none"/>
          <w:lang w:val="en-US"/>
        </w:rPr>
        <w:t>六、公告期限</w:t>
      </w:r>
      <w:bookmarkEnd w:id="23"/>
      <w:bookmarkEnd w:id="24"/>
      <w:bookmarkEnd w:id="25"/>
      <w:bookmarkEnd w:id="26"/>
    </w:p>
    <w:p w14:paraId="73220D7B">
      <w:pPr>
        <w:spacing w:line="360" w:lineRule="auto"/>
        <w:ind w:firstLine="210" w:firstLineChars="100"/>
        <w:jc w:val="both"/>
        <w:rPr>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rPr>
        <w:t>（一）</w:t>
      </w:r>
      <w:r>
        <w:rPr>
          <w:rFonts w:hint="eastAsia" w:ascii="Times New Roman"/>
          <w:color w:val="auto"/>
          <w:sz w:val="21"/>
          <w:szCs w:val="21"/>
          <w:highlight w:val="none"/>
          <w:lang w:val="en-US"/>
        </w:rPr>
        <w:t>自本公告发布之日起</w:t>
      </w:r>
      <w:r>
        <w:rPr>
          <w:rFonts w:hint="eastAsia" w:ascii="Times New Roman"/>
          <w:color w:val="auto"/>
          <w:sz w:val="21"/>
          <w:szCs w:val="21"/>
          <w:highlight w:val="none"/>
          <w:lang w:val="en-US" w:eastAsia="zh-CN"/>
        </w:rPr>
        <w:t>5</w:t>
      </w:r>
      <w:r>
        <w:rPr>
          <w:rFonts w:hint="eastAsia" w:ascii="Times New Roman"/>
          <w:color w:val="auto"/>
          <w:sz w:val="21"/>
          <w:szCs w:val="21"/>
          <w:highlight w:val="none"/>
          <w:lang w:val="en-US"/>
        </w:rPr>
        <w:t>个工作日。</w:t>
      </w:r>
    </w:p>
    <w:p w14:paraId="7FFC062E">
      <w:pPr>
        <w:spacing w:line="360" w:lineRule="auto"/>
        <w:jc w:val="both"/>
        <w:rPr>
          <w:b/>
          <w:color w:val="auto"/>
          <w:sz w:val="21"/>
          <w:szCs w:val="21"/>
          <w:highlight w:val="none"/>
          <w:lang w:val="en-US"/>
        </w:rPr>
      </w:pPr>
      <w:bookmarkStart w:id="27" w:name="_Toc35393635"/>
      <w:bookmarkStart w:id="28" w:name="_Toc35393804"/>
      <w:r>
        <w:rPr>
          <w:rFonts w:hint="eastAsia" w:ascii="Times New Roman"/>
          <w:b/>
          <w:color w:val="auto"/>
          <w:sz w:val="21"/>
          <w:szCs w:val="21"/>
          <w:highlight w:val="none"/>
          <w:lang w:val="en-US"/>
        </w:rPr>
        <w:t>七、其他补充事宜</w:t>
      </w:r>
      <w:bookmarkEnd w:id="27"/>
      <w:bookmarkEnd w:id="28"/>
    </w:p>
    <w:p w14:paraId="3A4F1232">
      <w:pPr>
        <w:spacing w:line="360" w:lineRule="auto"/>
        <w:ind w:firstLine="210" w:firstLineChars="100"/>
        <w:jc w:val="both"/>
        <w:rPr>
          <w:rFonts w:hint="eastAsia"/>
          <w:color w:val="auto"/>
          <w:sz w:val="21"/>
          <w:szCs w:val="21"/>
          <w:highlight w:val="none"/>
          <w:lang w:eastAsia="zh-CN"/>
        </w:rPr>
      </w:pPr>
      <w:bookmarkStart w:id="29" w:name="_Toc28359018"/>
      <w:bookmarkStart w:id="30" w:name="_Toc28359095"/>
      <w:bookmarkStart w:id="31" w:name="_Toc35393636"/>
      <w:bookmarkStart w:id="32" w:name="_Toc35393805"/>
      <w:r>
        <w:rPr>
          <w:rFonts w:hint="eastAsia" w:ascii="宋体" w:hAnsi="宋体" w:eastAsia="宋体" w:cs="宋体"/>
          <w:b w:val="0"/>
          <w:bCs w:val="0"/>
          <w:color w:val="auto"/>
          <w:kern w:val="2"/>
          <w:sz w:val="21"/>
          <w:szCs w:val="21"/>
          <w:highlight w:val="none"/>
          <w:lang w:val="en-US" w:eastAsia="zh-CN"/>
        </w:rPr>
        <w:t>（一）</w:t>
      </w:r>
      <w:r>
        <w:rPr>
          <w:rFonts w:hint="eastAsia" w:cs="宋体"/>
          <w:b w:val="0"/>
          <w:bCs w:val="0"/>
          <w:color w:val="auto"/>
          <w:kern w:val="2"/>
          <w:sz w:val="21"/>
          <w:szCs w:val="21"/>
          <w:highlight w:val="none"/>
          <w:lang w:val="en-US" w:eastAsia="zh-CN"/>
        </w:rPr>
        <w:t>磋商</w:t>
      </w:r>
      <w:r>
        <w:rPr>
          <w:rFonts w:hint="eastAsia"/>
          <w:color w:val="auto"/>
          <w:sz w:val="21"/>
          <w:szCs w:val="21"/>
          <w:highlight w:val="none"/>
        </w:rPr>
        <w:t>保证金（必须足额交纳）：</w:t>
      </w:r>
      <w:r>
        <w:rPr>
          <w:rFonts w:hint="eastAsia"/>
          <w:color w:val="auto"/>
          <w:sz w:val="21"/>
          <w:szCs w:val="21"/>
          <w:highlight w:val="none"/>
          <w:lang w:eastAsia="zh-CN"/>
        </w:rPr>
        <w:t>无</w:t>
      </w:r>
    </w:p>
    <w:p w14:paraId="62655DDD">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w:t>
      </w:r>
      <w:r>
        <w:rPr>
          <w:rFonts w:hint="eastAsia" w:cs="宋体"/>
          <w:b w:val="0"/>
          <w:bCs w:val="0"/>
          <w:color w:val="auto"/>
          <w:kern w:val="2"/>
          <w:sz w:val="21"/>
          <w:szCs w:val="21"/>
          <w:highlight w:val="none"/>
          <w:lang w:val="en-US" w:eastAsia="zh-CN"/>
        </w:rPr>
        <w:t>二</w:t>
      </w:r>
      <w:r>
        <w:rPr>
          <w:rFonts w:hint="eastAsia" w:ascii="宋体" w:hAnsi="宋体" w:eastAsia="宋体" w:cs="宋体"/>
          <w:b w:val="0"/>
          <w:bCs w:val="0"/>
          <w:color w:val="auto"/>
          <w:kern w:val="2"/>
          <w:sz w:val="21"/>
          <w:szCs w:val="21"/>
          <w:highlight w:val="none"/>
          <w:lang w:val="en-US" w:eastAsia="zh-CN"/>
        </w:rPr>
        <w:t>）公告发布媒体：中国采购与招标网</w:t>
      </w: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"http://www.chinabidding.com.cn/"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www.chinabidding.com.cn</w:t>
      </w:r>
      <w:r>
        <w:rPr>
          <w:rFonts w:hint="eastAsia" w:ascii="宋体" w:hAnsi="宋体" w:eastAsia="宋体" w:cs="宋体"/>
          <w:b w:val="0"/>
          <w:bCs w:val="0"/>
          <w:color w:val="auto"/>
          <w:kern w:val="2"/>
          <w:sz w:val="21"/>
          <w:szCs w:val="21"/>
          <w:highlight w:val="none"/>
          <w:lang w:val="en-US" w:eastAsia="zh-CN"/>
        </w:rPr>
        <w:fldChar w:fldCharType="end"/>
      </w:r>
      <w:r>
        <w:rPr>
          <w:rFonts w:hint="eastAsia" w:ascii="宋体" w:hAnsi="宋体" w:eastAsia="宋体" w:cs="宋体"/>
          <w:b w:val="0"/>
          <w:bCs w:val="0"/>
          <w:color w:val="auto"/>
          <w:kern w:val="2"/>
          <w:sz w:val="21"/>
          <w:szCs w:val="21"/>
          <w:highlight w:val="none"/>
          <w:lang w:val="en-US" w:eastAsia="zh-CN"/>
        </w:rPr>
        <w:t>、</w:t>
      </w:r>
      <w:r>
        <w:rPr>
          <w:rFonts w:hint="eastAsia" w:ascii="宋体" w:hAnsi="宋体" w:eastAsia="宋体" w:cs="宋体"/>
          <w:b w:val="0"/>
          <w:bCs w:val="0"/>
          <w:color w:val="auto"/>
          <w:kern w:val="2"/>
          <w:sz w:val="21"/>
          <w:szCs w:val="21"/>
          <w:lang w:val="en-US" w:eastAsia="zh-CN"/>
        </w:rPr>
        <w:t>广西瑞真工程造价咨询有限责任公司http://www.gxruizhen.com/。</w:t>
      </w:r>
    </w:p>
    <w:p w14:paraId="44071B94">
      <w:pPr>
        <w:spacing w:line="360" w:lineRule="auto"/>
        <w:jc w:val="both"/>
        <w:rPr>
          <w:b/>
          <w:color w:val="auto"/>
          <w:sz w:val="21"/>
          <w:szCs w:val="21"/>
          <w:highlight w:val="none"/>
          <w:lang w:val="en-US"/>
        </w:rPr>
      </w:pPr>
      <w:r>
        <w:rPr>
          <w:rFonts w:hint="eastAsia" w:ascii="Times New Roman"/>
          <w:b/>
          <w:color w:val="auto"/>
          <w:sz w:val="21"/>
          <w:szCs w:val="21"/>
          <w:highlight w:val="none"/>
          <w:lang w:val="en-US"/>
        </w:rPr>
        <w:t>八、凡对本次采购提出询问，请按以下方式联系。</w:t>
      </w:r>
      <w:bookmarkEnd w:id="29"/>
      <w:bookmarkEnd w:id="30"/>
      <w:bookmarkEnd w:id="31"/>
      <w:bookmarkEnd w:id="32"/>
    </w:p>
    <w:p w14:paraId="3BA440B1">
      <w:pPr>
        <w:spacing w:line="360" w:lineRule="auto"/>
        <w:jc w:val="both"/>
        <w:rPr>
          <w:rFonts w:hint="eastAsia" w:ascii="Times New Roman"/>
          <w:b/>
          <w:color w:val="auto"/>
          <w:sz w:val="21"/>
          <w:szCs w:val="21"/>
          <w:highlight w:val="none"/>
          <w:lang w:val="en-US"/>
        </w:rPr>
      </w:pPr>
      <w:bookmarkStart w:id="33" w:name="_Toc28359019"/>
      <w:bookmarkStart w:id="34" w:name="_Toc35393806"/>
      <w:bookmarkStart w:id="35" w:name="_Toc35393637"/>
      <w:bookmarkStart w:id="36" w:name="_Toc28359096"/>
      <w:r>
        <w:rPr>
          <w:rFonts w:hint="eastAsia" w:ascii="Times New Roman"/>
          <w:b/>
          <w:color w:val="auto"/>
          <w:sz w:val="21"/>
          <w:szCs w:val="21"/>
          <w:highlight w:val="none"/>
          <w:lang w:val="en-US" w:eastAsia="zh-CN"/>
        </w:rPr>
        <w:t>（一）</w:t>
      </w:r>
      <w:r>
        <w:rPr>
          <w:rFonts w:hint="eastAsia" w:ascii="Times New Roman"/>
          <w:b/>
          <w:color w:val="auto"/>
          <w:sz w:val="21"/>
          <w:szCs w:val="21"/>
          <w:highlight w:val="none"/>
          <w:lang w:val="en-US"/>
        </w:rPr>
        <w:t>采购人信息</w:t>
      </w:r>
      <w:bookmarkEnd w:id="33"/>
      <w:bookmarkEnd w:id="34"/>
      <w:bookmarkEnd w:id="35"/>
      <w:bookmarkEnd w:id="36"/>
    </w:p>
    <w:p w14:paraId="70E5E72E">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1、名    称：</w:t>
      </w:r>
      <w:r>
        <w:rPr>
          <w:rFonts w:hint="eastAsia" w:cs="宋体"/>
          <w:b w:val="0"/>
          <w:bCs w:val="0"/>
          <w:color w:val="auto"/>
          <w:kern w:val="2"/>
          <w:sz w:val="21"/>
          <w:szCs w:val="21"/>
          <w:highlight w:val="none"/>
          <w:lang w:val="en-US" w:eastAsia="zh-CN"/>
        </w:rPr>
        <w:t>广西壮族自治区北海生态环境监测中心</w:t>
      </w:r>
    </w:p>
    <w:p w14:paraId="39A03879">
      <w:pPr>
        <w:spacing w:line="360" w:lineRule="auto"/>
        <w:ind w:firstLine="210" w:firstLineChars="100"/>
        <w:jc w:val="both"/>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2、地    址：</w:t>
      </w:r>
      <w:r>
        <w:rPr>
          <w:rFonts w:hint="eastAsia" w:cs="宋体"/>
          <w:b w:val="0"/>
          <w:bCs w:val="0"/>
          <w:color w:val="auto"/>
          <w:kern w:val="2"/>
          <w:sz w:val="21"/>
          <w:szCs w:val="21"/>
          <w:highlight w:val="none"/>
          <w:lang w:val="en-US" w:eastAsia="zh-CN"/>
        </w:rPr>
        <w:t>北海市北海大道198号</w:t>
      </w:r>
      <w:r>
        <w:rPr>
          <w:rFonts w:hint="eastAsia" w:cs="宋体"/>
          <w:b w:val="0"/>
          <w:bCs w:val="0"/>
          <w:color w:val="auto"/>
          <w:kern w:val="2"/>
          <w:sz w:val="21"/>
          <w:szCs w:val="21"/>
          <w:highlight w:val="none"/>
          <w:lang w:val="en-US" w:eastAsia="zh-CN"/>
        </w:rPr>
        <w:tab/>
      </w:r>
    </w:p>
    <w:p w14:paraId="5CDE2936">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3、联系人：</w:t>
      </w:r>
      <w:r>
        <w:rPr>
          <w:rFonts w:hint="eastAsia" w:cs="宋体"/>
          <w:b w:val="0"/>
          <w:bCs w:val="0"/>
          <w:color w:val="auto"/>
          <w:kern w:val="2"/>
          <w:sz w:val="21"/>
          <w:szCs w:val="21"/>
          <w:highlight w:val="none"/>
          <w:lang w:val="en-US" w:eastAsia="zh-CN"/>
        </w:rPr>
        <w:t>苏工</w:t>
      </w:r>
    </w:p>
    <w:p w14:paraId="583EA620">
      <w:pPr>
        <w:spacing w:line="360" w:lineRule="auto"/>
        <w:ind w:firstLine="210" w:firstLineChars="100"/>
        <w:jc w:val="both"/>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4、联系电话：</w:t>
      </w:r>
      <w:bookmarkStart w:id="37" w:name="_Toc28359020"/>
      <w:bookmarkStart w:id="38" w:name="_Toc35393807"/>
      <w:bookmarkStart w:id="39" w:name="_Toc28359097"/>
      <w:bookmarkStart w:id="40" w:name="_Toc35393638"/>
      <w:r>
        <w:rPr>
          <w:rFonts w:hint="eastAsia" w:cs="宋体"/>
          <w:b w:val="0"/>
          <w:bCs w:val="0"/>
          <w:color w:val="auto"/>
          <w:kern w:val="2"/>
          <w:sz w:val="21"/>
          <w:szCs w:val="21"/>
          <w:highlight w:val="none"/>
          <w:lang w:val="en-US" w:eastAsia="zh-CN"/>
        </w:rPr>
        <w:t>0779-3060682</w:t>
      </w:r>
    </w:p>
    <w:p w14:paraId="23482CDC">
      <w:pPr>
        <w:spacing w:line="360" w:lineRule="auto"/>
        <w:jc w:val="both"/>
        <w:rPr>
          <w:b/>
          <w:color w:val="auto"/>
          <w:sz w:val="21"/>
          <w:szCs w:val="21"/>
          <w:highlight w:val="none"/>
          <w:lang w:val="en-US"/>
        </w:rPr>
      </w:pPr>
      <w:r>
        <w:rPr>
          <w:rFonts w:hint="eastAsia" w:ascii="Times New Roman"/>
          <w:b/>
          <w:color w:val="auto"/>
          <w:sz w:val="21"/>
          <w:szCs w:val="21"/>
          <w:highlight w:val="none"/>
          <w:lang w:val="en-US" w:eastAsia="zh-CN"/>
        </w:rPr>
        <w:t>（二）</w:t>
      </w:r>
      <w:r>
        <w:rPr>
          <w:rFonts w:hint="eastAsia" w:ascii="Times New Roman"/>
          <w:b/>
          <w:color w:val="auto"/>
          <w:sz w:val="21"/>
          <w:szCs w:val="21"/>
          <w:highlight w:val="none"/>
          <w:lang w:val="en-US"/>
        </w:rPr>
        <w:t>采购代理机构信息</w:t>
      </w:r>
      <w:bookmarkEnd w:id="37"/>
      <w:bookmarkEnd w:id="38"/>
      <w:bookmarkEnd w:id="39"/>
      <w:bookmarkEnd w:id="40"/>
    </w:p>
    <w:p w14:paraId="7C1D8CA0">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1、名    称：广西瑞真工程造价咨询有限责任公司</w:t>
      </w:r>
    </w:p>
    <w:p w14:paraId="61B71EB9">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2、地　　址：北海市重庆路发展大厦A座701室</w:t>
      </w:r>
    </w:p>
    <w:p w14:paraId="410B6069">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bookmarkStart w:id="41" w:name="_Toc28359098"/>
      <w:bookmarkStart w:id="42" w:name="_Toc35393639"/>
      <w:bookmarkStart w:id="43" w:name="_Toc28359021"/>
      <w:bookmarkStart w:id="44" w:name="_Toc35393808"/>
      <w:r>
        <w:rPr>
          <w:rFonts w:hint="eastAsia" w:ascii="宋体" w:hAnsi="宋体" w:eastAsia="宋体" w:cs="宋体"/>
          <w:b w:val="0"/>
          <w:bCs w:val="0"/>
          <w:color w:val="auto"/>
          <w:kern w:val="2"/>
          <w:sz w:val="21"/>
          <w:szCs w:val="21"/>
          <w:highlight w:val="none"/>
          <w:lang w:val="en-US" w:eastAsia="zh-CN"/>
        </w:rPr>
        <w:t>3、项目联系人：曾工</w:t>
      </w:r>
    </w:p>
    <w:p w14:paraId="59A86F32">
      <w:pPr>
        <w:spacing w:line="360" w:lineRule="auto"/>
        <w:ind w:firstLine="210" w:firstLineChars="100"/>
        <w:jc w:val="both"/>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4、联系电话及传真：0779-3219191</w:t>
      </w:r>
      <w:bookmarkEnd w:id="41"/>
      <w:bookmarkEnd w:id="42"/>
      <w:bookmarkEnd w:id="43"/>
      <w:bookmarkEnd w:id="44"/>
    </w:p>
    <w:p w14:paraId="6A0F5359">
      <w:pPr>
        <w:bidi w:val="0"/>
        <w:rPr>
          <w:rFonts w:hint="default"/>
          <w:color w:val="auto"/>
          <w:lang w:val="en-US" w:eastAsia="zh-CN"/>
        </w:rPr>
      </w:pPr>
    </w:p>
    <w:p w14:paraId="303CB949">
      <w:pPr>
        <w:adjustRightInd w:val="0"/>
        <w:snapToGrid w:val="0"/>
        <w:spacing w:line="360" w:lineRule="auto"/>
        <w:ind w:firstLine="4620" w:firstLineChars="2200"/>
        <w:jc w:val="both"/>
        <w:rPr>
          <w:color w:val="auto"/>
          <w:sz w:val="21"/>
          <w:szCs w:val="21"/>
          <w:highlight w:val="none"/>
          <w:lang w:val="en-US"/>
        </w:rPr>
      </w:pPr>
      <w:r>
        <w:rPr>
          <w:rFonts w:hint="eastAsia" w:ascii="Times New Roman"/>
          <w:color w:val="auto"/>
          <w:kern w:val="2"/>
          <w:sz w:val="21"/>
          <w:szCs w:val="21"/>
          <w:highlight w:val="none"/>
          <w:lang w:val="en-US"/>
        </w:rPr>
        <w:t>采购代理</w:t>
      </w:r>
      <w:r>
        <w:rPr>
          <w:rFonts w:hint="eastAsia" w:ascii="Times New Roman"/>
          <w:color w:val="auto"/>
          <w:sz w:val="21"/>
          <w:szCs w:val="21"/>
          <w:highlight w:val="none"/>
          <w:lang w:val="en-US"/>
        </w:rPr>
        <w:t>机</w:t>
      </w:r>
      <w:r>
        <w:rPr>
          <w:rFonts w:hint="eastAsia" w:ascii="Times New Roman"/>
          <w:color w:val="auto"/>
          <w:kern w:val="2"/>
          <w:sz w:val="21"/>
          <w:szCs w:val="21"/>
          <w:highlight w:val="none"/>
          <w:lang w:val="en-US"/>
        </w:rPr>
        <w:t>构：广西瑞真工程造价咨询有限责任公司</w:t>
      </w:r>
    </w:p>
    <w:p w14:paraId="1A68D48F">
      <w:pPr>
        <w:pStyle w:val="21"/>
        <w:widowControl w:val="0"/>
        <w:spacing w:before="0" w:beforeAutospacing="0" w:after="0" w:afterAutospacing="0" w:line="360" w:lineRule="auto"/>
        <w:ind w:firstLine="6210" w:firstLineChars="2700"/>
        <w:jc w:val="both"/>
        <w:rPr>
          <w:color w:val="auto"/>
          <w:sz w:val="21"/>
          <w:szCs w:val="21"/>
          <w:highlight w:val="none"/>
          <w:lang w:val="en-US"/>
        </w:rPr>
      </w:pPr>
      <w:r>
        <w:rPr>
          <w:rFonts w:ascii="Times New Roman"/>
          <w:bCs/>
          <w:color w:val="auto"/>
          <w:spacing w:val="10"/>
          <w:kern w:val="2"/>
          <w:sz w:val="21"/>
          <w:szCs w:val="21"/>
          <w:highlight w:val="none"/>
          <w:lang w:val="en-US"/>
        </w:rPr>
        <w:t>202</w:t>
      </w:r>
      <w:r>
        <w:rPr>
          <w:rFonts w:hint="eastAsia" w:ascii="Times New Roman"/>
          <w:bCs/>
          <w:color w:val="auto"/>
          <w:spacing w:val="10"/>
          <w:kern w:val="2"/>
          <w:sz w:val="21"/>
          <w:szCs w:val="21"/>
          <w:highlight w:val="none"/>
          <w:lang w:val="en-US" w:eastAsia="zh-CN"/>
        </w:rPr>
        <w:t xml:space="preserve">5 </w:t>
      </w:r>
      <w:r>
        <w:rPr>
          <w:rFonts w:hint="eastAsia" w:ascii="Times New Roman"/>
          <w:bCs/>
          <w:color w:val="auto"/>
          <w:spacing w:val="10"/>
          <w:kern w:val="2"/>
          <w:sz w:val="21"/>
          <w:szCs w:val="21"/>
          <w:highlight w:val="none"/>
          <w:lang w:val="en-US"/>
        </w:rPr>
        <w:t>年</w:t>
      </w:r>
      <w:r>
        <w:rPr>
          <w:rFonts w:hint="eastAsia" w:ascii="Times New Roman"/>
          <w:bCs/>
          <w:color w:val="auto"/>
          <w:spacing w:val="10"/>
          <w:kern w:val="2"/>
          <w:sz w:val="21"/>
          <w:szCs w:val="21"/>
          <w:highlight w:val="none"/>
          <w:lang w:val="en-US" w:eastAsia="zh-CN"/>
        </w:rPr>
        <w:t xml:space="preserve"> 05 </w:t>
      </w:r>
      <w:r>
        <w:rPr>
          <w:rFonts w:hint="eastAsia" w:ascii="Times New Roman"/>
          <w:bCs/>
          <w:color w:val="auto"/>
          <w:spacing w:val="10"/>
          <w:kern w:val="2"/>
          <w:sz w:val="21"/>
          <w:szCs w:val="21"/>
          <w:highlight w:val="none"/>
          <w:lang w:val="en-US"/>
        </w:rPr>
        <w:t>月</w:t>
      </w:r>
      <w:r>
        <w:rPr>
          <w:rFonts w:hint="eastAsia" w:ascii="Times New Roman"/>
          <w:bCs/>
          <w:color w:val="auto"/>
          <w:spacing w:val="10"/>
          <w:kern w:val="2"/>
          <w:sz w:val="21"/>
          <w:szCs w:val="21"/>
          <w:highlight w:val="none"/>
          <w:lang w:val="en-US" w:eastAsia="zh-CN"/>
        </w:rPr>
        <w:t xml:space="preserve"> 09 </w:t>
      </w:r>
      <w:r>
        <w:rPr>
          <w:rFonts w:hint="eastAsia" w:ascii="Times New Roman"/>
          <w:bCs/>
          <w:color w:val="auto"/>
          <w:spacing w:val="10"/>
          <w:kern w:val="2"/>
          <w:sz w:val="21"/>
          <w:szCs w:val="21"/>
          <w:highlight w:val="none"/>
          <w:lang w:val="en-US"/>
        </w:rPr>
        <w:t>日</w:t>
      </w:r>
    </w:p>
    <w:p w14:paraId="41425715">
      <w:pPr>
        <w:spacing w:line="360" w:lineRule="auto"/>
        <w:jc w:val="both"/>
        <w:rPr>
          <w:color w:val="auto"/>
          <w:highlight w:val="none"/>
          <w:lang w:val="en-US"/>
        </w:rPr>
      </w:pPr>
      <w:r>
        <w:rPr>
          <w:rFonts w:ascii="Times New Roman" w:hAnsi="Times New Roman"/>
          <w:color w:val="auto"/>
          <w:kern w:val="2"/>
          <w:sz w:val="21"/>
          <w:szCs w:val="24"/>
          <w:highlight w:val="none"/>
          <w:lang w:val="en-US"/>
        </w:rPr>
        <w:br w:type="page"/>
      </w:r>
    </w:p>
    <w:p w14:paraId="1FBF3302">
      <w:pPr>
        <w:pStyle w:val="3"/>
        <w:bidi w:val="0"/>
        <w:spacing w:line="480" w:lineRule="auto"/>
        <w:rPr>
          <w:rFonts w:hint="eastAsia" w:ascii="宋体" w:hAnsi="宋体" w:eastAsia="宋体" w:cs="宋体"/>
          <w:color w:val="auto"/>
          <w:sz w:val="30"/>
          <w:szCs w:val="30"/>
          <w:lang w:val="en-US"/>
        </w:rPr>
      </w:pPr>
      <w:bookmarkStart w:id="45" w:name="_Toc26496"/>
      <w:r>
        <w:rPr>
          <w:rFonts w:hint="eastAsia" w:ascii="宋体" w:hAnsi="宋体" w:eastAsia="宋体" w:cs="宋体"/>
          <w:color w:val="auto"/>
          <w:sz w:val="30"/>
          <w:szCs w:val="30"/>
          <w:lang w:val="en-US"/>
        </w:rPr>
        <w:t>第二章</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lang w:val="en-US"/>
        </w:rPr>
        <w:t>磋商须知及前附表</w:t>
      </w:r>
      <w:bookmarkEnd w:id="2"/>
      <w:bookmarkEnd w:id="45"/>
    </w:p>
    <w:p w14:paraId="68BBE749">
      <w:pPr>
        <w:spacing w:before="214" w:line="360" w:lineRule="auto"/>
        <w:ind w:right="52"/>
        <w:jc w:val="center"/>
        <w:rPr>
          <w:b/>
          <w:color w:val="auto"/>
          <w:sz w:val="32"/>
          <w:highlight w:val="none"/>
        </w:rPr>
      </w:pPr>
      <w:r>
        <w:rPr>
          <w:b/>
          <w:color w:val="auto"/>
          <w:sz w:val="32"/>
          <w:highlight w:val="none"/>
        </w:rPr>
        <w:t>磋商须知前附表</w:t>
      </w:r>
    </w:p>
    <w:tbl>
      <w:tblPr>
        <w:tblStyle w:val="25"/>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45"/>
        <w:gridCol w:w="8106"/>
      </w:tblGrid>
      <w:tr w14:paraId="5B4D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6" w:type="dxa"/>
            <w:vAlign w:val="center"/>
          </w:tcPr>
          <w:p w14:paraId="6E489C08">
            <w:pPr>
              <w:pStyle w:val="13"/>
              <w:adjustRightInd w:val="0"/>
              <w:snapToGrid w:val="0"/>
              <w:spacing w:before="0" w:beforeAutospacing="0" w:after="0" w:afterAutospacing="0" w:line="360" w:lineRule="auto"/>
              <w:ind w:left="0" w:right="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序号</w:t>
            </w:r>
          </w:p>
        </w:tc>
        <w:tc>
          <w:tcPr>
            <w:tcW w:w="945" w:type="dxa"/>
            <w:vAlign w:val="center"/>
          </w:tcPr>
          <w:p w14:paraId="01779164">
            <w:pPr>
              <w:pStyle w:val="13"/>
              <w:adjustRightInd w:val="0"/>
              <w:snapToGrid w:val="0"/>
              <w:spacing w:before="0" w:beforeAutospacing="0" w:after="0" w:afterAutospacing="0" w:line="360" w:lineRule="auto"/>
              <w:ind w:left="0" w:right="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条款号</w:t>
            </w:r>
          </w:p>
        </w:tc>
        <w:tc>
          <w:tcPr>
            <w:tcW w:w="8106" w:type="dxa"/>
            <w:vAlign w:val="center"/>
          </w:tcPr>
          <w:p w14:paraId="036A33A0">
            <w:pPr>
              <w:pStyle w:val="13"/>
              <w:adjustRightInd w:val="0"/>
              <w:snapToGrid w:val="0"/>
              <w:spacing w:before="0" w:beforeAutospacing="0" w:after="0" w:afterAutospacing="0" w:line="360" w:lineRule="auto"/>
              <w:ind w:left="0" w:right="0" w:firstLine="420" w:firstLineChars="20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内    容</w:t>
            </w:r>
          </w:p>
        </w:tc>
      </w:tr>
      <w:tr w14:paraId="1C66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26" w:type="dxa"/>
            <w:vAlign w:val="center"/>
          </w:tcPr>
          <w:p w14:paraId="697D7856">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945" w:type="dxa"/>
            <w:vAlign w:val="center"/>
          </w:tcPr>
          <w:p w14:paraId="59A00367">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w:t>
            </w:r>
          </w:p>
        </w:tc>
        <w:tc>
          <w:tcPr>
            <w:tcW w:w="8106" w:type="dxa"/>
            <w:vAlign w:val="center"/>
          </w:tcPr>
          <w:p w14:paraId="4A7E9A74">
            <w:pPr>
              <w:spacing w:before="0" w:beforeAutospacing="0" w:after="0" w:afterAutospacing="0" w:line="360" w:lineRule="auto"/>
              <w:ind w:left="0" w:right="0"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项目名称：</w:t>
            </w:r>
            <w:r>
              <w:rPr>
                <w:rFonts w:hint="eastAsia" w:cs="宋体"/>
                <w:color w:val="auto"/>
                <w:sz w:val="21"/>
                <w:szCs w:val="21"/>
                <w:highlight w:val="none"/>
                <w:lang w:val="en-US" w:eastAsia="zh-CN"/>
              </w:rPr>
              <w:t>2025—2026年度北海市区控市级环境空气和大气降水自动监测站运行维护服务</w:t>
            </w:r>
          </w:p>
          <w:p w14:paraId="41A26FBE">
            <w:pPr>
              <w:spacing w:before="0" w:beforeAutospacing="0" w:after="0" w:afterAutospacing="0" w:line="360" w:lineRule="auto"/>
              <w:ind w:left="0" w:right="0" w:firstLine="210" w:firstLineChars="100"/>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项目编号：</w:t>
            </w:r>
            <w:r>
              <w:rPr>
                <w:rFonts w:hint="eastAsia"/>
                <w:color w:val="auto"/>
                <w:sz w:val="21"/>
                <w:szCs w:val="21"/>
                <w:highlight w:val="none"/>
                <w:lang w:eastAsia="zh-CN"/>
              </w:rPr>
              <w:t>GXRZBH-2025-008</w:t>
            </w:r>
          </w:p>
          <w:p w14:paraId="7EB3106A">
            <w:pPr>
              <w:spacing w:before="0" w:beforeAutospacing="0" w:after="0" w:afterAutospacing="0" w:line="360" w:lineRule="auto"/>
              <w:ind w:left="0" w:right="0" w:firstLine="210" w:firstLineChars="100"/>
              <w:rPr>
                <w:rFonts w:hint="default" w:ascii="宋体" w:hAnsi="宋体" w:eastAsia="宋体" w:cs="宋体"/>
                <w:b w:val="0"/>
                <w:bCs w:val="0"/>
                <w:color w:val="auto"/>
                <w:kern w:val="2"/>
                <w:sz w:val="21"/>
                <w:szCs w:val="21"/>
                <w:highlight w:val="none"/>
                <w:lang w:val="en-US" w:eastAsia="zh-CN"/>
              </w:rPr>
            </w:pPr>
            <w:r>
              <w:rPr>
                <w:rFonts w:hint="default" w:ascii="宋体" w:hAnsi="宋体" w:eastAsia="宋体" w:cs="宋体"/>
                <w:b w:val="0"/>
                <w:bCs w:val="0"/>
                <w:color w:val="auto"/>
                <w:kern w:val="2"/>
                <w:sz w:val="21"/>
                <w:szCs w:val="21"/>
                <w:highlight w:val="none"/>
                <w:lang w:val="en-US" w:eastAsia="zh-CN"/>
              </w:rPr>
              <w:t>采购控制价（人民币）：</w:t>
            </w:r>
            <w:r>
              <w:rPr>
                <w:rFonts w:hint="eastAsia"/>
                <w:color w:val="auto"/>
                <w:sz w:val="21"/>
                <w:szCs w:val="21"/>
                <w:highlight w:val="none"/>
                <w:lang w:val="en-US" w:eastAsia="zh-CN"/>
              </w:rPr>
              <w:t>贰拾玖万元整（¥290000.00元）</w:t>
            </w:r>
          </w:p>
        </w:tc>
      </w:tr>
      <w:tr w14:paraId="28F4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726" w:type="dxa"/>
            <w:vAlign w:val="center"/>
          </w:tcPr>
          <w:p w14:paraId="6100D84F">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945" w:type="dxa"/>
            <w:vAlign w:val="center"/>
          </w:tcPr>
          <w:p w14:paraId="525CCAA0">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3.1</w:t>
            </w:r>
          </w:p>
        </w:tc>
        <w:tc>
          <w:tcPr>
            <w:tcW w:w="8106" w:type="dxa"/>
            <w:vAlign w:val="center"/>
          </w:tcPr>
          <w:p w14:paraId="7306C5E6">
            <w:pPr>
              <w:spacing w:before="0" w:beforeAutospacing="0" w:after="0" w:afterAutospacing="0" w:line="360" w:lineRule="auto"/>
              <w:ind w:left="0" w:right="0"/>
              <w:jc w:val="both"/>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rPr>
              <w:t>磋商供应商资格</w:t>
            </w:r>
            <w:r>
              <w:rPr>
                <w:rFonts w:hint="eastAsia" w:ascii="Times New Roman" w:hAnsi="Times New Roman" w:cs="Times New Roman"/>
                <w:color w:val="auto"/>
                <w:sz w:val="21"/>
                <w:szCs w:val="21"/>
                <w:highlight w:val="none"/>
                <w:lang w:val="en-US"/>
              </w:rPr>
              <w:t>条件：</w:t>
            </w:r>
          </w:p>
          <w:p w14:paraId="3273DDDA">
            <w:pPr>
              <w:spacing w:before="0" w:beforeAutospacing="0" w:after="0" w:afterAutospacing="0" w:line="360" w:lineRule="auto"/>
              <w:ind w:left="0" w:right="0" w:firstLine="210" w:firstLineChars="100"/>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（一）满足《中华人民共和国政府</w:t>
            </w:r>
            <w:r>
              <w:rPr>
                <w:rFonts w:hint="eastAsia" w:cs="宋体"/>
                <w:b w:val="0"/>
                <w:bCs w:val="0"/>
                <w:color w:val="auto"/>
                <w:kern w:val="2"/>
                <w:sz w:val="21"/>
                <w:szCs w:val="21"/>
                <w:highlight w:val="none"/>
                <w:lang w:val="en-US" w:eastAsia="zh-CN"/>
              </w:rPr>
              <w:t>采购</w:t>
            </w:r>
            <w:r>
              <w:rPr>
                <w:rFonts w:hint="eastAsia" w:ascii="宋体" w:hAnsi="宋体" w:eastAsia="宋体" w:cs="宋体"/>
                <w:b w:val="0"/>
                <w:bCs w:val="0"/>
                <w:color w:val="auto"/>
                <w:kern w:val="2"/>
                <w:sz w:val="21"/>
                <w:szCs w:val="21"/>
                <w:highlight w:val="none"/>
                <w:lang w:val="en-US" w:eastAsia="zh-CN"/>
              </w:rPr>
              <w:t>法》第二十二条规定；</w:t>
            </w:r>
          </w:p>
          <w:p w14:paraId="3D86E5CD">
            <w:pPr>
              <w:spacing w:before="0" w:beforeAutospacing="0" w:after="0" w:afterAutospacing="0" w:line="360" w:lineRule="auto"/>
              <w:ind w:left="0" w:right="0" w:firstLine="210" w:firstLineChars="100"/>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（二）落实政府</w:t>
            </w:r>
            <w:r>
              <w:rPr>
                <w:rFonts w:hint="eastAsia" w:cs="宋体"/>
                <w:b w:val="0"/>
                <w:bCs w:val="0"/>
                <w:color w:val="auto"/>
                <w:kern w:val="2"/>
                <w:sz w:val="21"/>
                <w:szCs w:val="21"/>
                <w:highlight w:val="none"/>
                <w:lang w:val="en-US" w:eastAsia="zh-CN"/>
              </w:rPr>
              <w:t>采购</w:t>
            </w:r>
            <w:r>
              <w:rPr>
                <w:rFonts w:hint="eastAsia" w:ascii="宋体" w:hAnsi="宋体" w:eastAsia="宋体" w:cs="宋体"/>
                <w:b w:val="0"/>
                <w:bCs w:val="0"/>
                <w:color w:val="auto"/>
                <w:kern w:val="2"/>
                <w:sz w:val="21"/>
                <w:szCs w:val="21"/>
                <w:highlight w:val="none"/>
                <w:lang w:val="en-US" w:eastAsia="zh-CN"/>
              </w:rPr>
              <w:t>政策需满足的资格要求：</w:t>
            </w:r>
            <w:r>
              <w:rPr>
                <w:rFonts w:hint="eastAsia" w:cs="宋体"/>
                <w:b w:val="0"/>
                <w:bCs w:val="0"/>
                <w:color w:val="auto"/>
                <w:kern w:val="2"/>
                <w:sz w:val="21"/>
                <w:szCs w:val="21"/>
                <w:highlight w:val="none"/>
                <w:lang w:val="en-US" w:eastAsia="zh-CN"/>
              </w:rPr>
              <w:t>无</w:t>
            </w:r>
            <w:r>
              <w:rPr>
                <w:rFonts w:hint="eastAsia" w:ascii="宋体" w:hAnsi="宋体" w:eastAsia="宋体" w:cs="宋体"/>
                <w:b w:val="0"/>
                <w:bCs w:val="0"/>
                <w:color w:val="auto"/>
                <w:kern w:val="2"/>
                <w:sz w:val="21"/>
                <w:szCs w:val="21"/>
                <w:highlight w:val="none"/>
                <w:lang w:val="en-US" w:eastAsia="zh-CN"/>
              </w:rPr>
              <w:t>。</w:t>
            </w:r>
          </w:p>
          <w:p w14:paraId="41EF6E2C">
            <w:pPr>
              <w:spacing w:before="0" w:beforeAutospacing="0" w:after="0" w:afterAutospacing="0" w:line="360" w:lineRule="auto"/>
              <w:ind w:left="0" w:right="0" w:firstLine="210" w:firstLineChars="100"/>
              <w:rPr>
                <w:rFonts w:hint="default" w:ascii="Times New Roman" w:hAnsi="Times New Roman" w:cs="Times New Roman"/>
                <w:color w:val="auto"/>
                <w:sz w:val="21"/>
                <w:szCs w:val="21"/>
                <w:highlight w:val="none"/>
              </w:rPr>
            </w:pPr>
            <w:r>
              <w:rPr>
                <w:rFonts w:hint="eastAsia" w:ascii="宋体" w:hAnsi="宋体" w:eastAsia="宋体" w:cs="宋体"/>
                <w:b w:val="0"/>
                <w:bCs w:val="0"/>
                <w:color w:val="auto"/>
                <w:kern w:val="2"/>
                <w:sz w:val="21"/>
                <w:szCs w:val="21"/>
                <w:highlight w:val="none"/>
                <w:lang w:val="en-US" w:eastAsia="zh-CN"/>
              </w:rPr>
              <w:t>（三）本项目的特定资格要求：</w:t>
            </w:r>
            <w:r>
              <w:rPr>
                <w:rFonts w:hint="eastAsia" w:cs="宋体"/>
                <w:b w:val="0"/>
                <w:bCs w:val="0"/>
                <w:color w:val="auto"/>
                <w:kern w:val="2"/>
                <w:sz w:val="21"/>
                <w:szCs w:val="21"/>
                <w:highlight w:val="none"/>
                <w:lang w:val="en-US" w:eastAsia="zh-CN"/>
              </w:rPr>
              <w:t>无</w:t>
            </w:r>
            <w:r>
              <w:rPr>
                <w:rFonts w:hint="eastAsia" w:ascii="宋体" w:hAnsi="宋体" w:eastAsia="宋体" w:cs="宋体"/>
                <w:b w:val="0"/>
                <w:bCs w:val="0"/>
                <w:color w:val="auto"/>
                <w:kern w:val="2"/>
                <w:sz w:val="21"/>
                <w:szCs w:val="21"/>
                <w:highlight w:val="none"/>
                <w:lang w:val="en-US" w:eastAsia="zh-CN"/>
              </w:rPr>
              <w:t>。</w:t>
            </w:r>
          </w:p>
        </w:tc>
      </w:tr>
      <w:tr w14:paraId="3D22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6" w:type="dxa"/>
            <w:vAlign w:val="center"/>
          </w:tcPr>
          <w:p w14:paraId="6996C68C">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945" w:type="dxa"/>
            <w:vAlign w:val="center"/>
          </w:tcPr>
          <w:p w14:paraId="45D84E3B">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7.4</w:t>
            </w:r>
          </w:p>
        </w:tc>
        <w:tc>
          <w:tcPr>
            <w:tcW w:w="8106" w:type="dxa"/>
            <w:vAlign w:val="center"/>
          </w:tcPr>
          <w:p w14:paraId="02382E56">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报价：供应商应就《采购需求》中所有的服务内容作完整唯一报价。</w:t>
            </w:r>
          </w:p>
        </w:tc>
      </w:tr>
      <w:tr w14:paraId="2929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6" w:type="dxa"/>
            <w:vAlign w:val="center"/>
          </w:tcPr>
          <w:p w14:paraId="33E23BEE">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c>
          <w:tcPr>
            <w:tcW w:w="945" w:type="dxa"/>
            <w:vAlign w:val="center"/>
          </w:tcPr>
          <w:p w14:paraId="47AE5F6A">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8.2</w:t>
            </w:r>
          </w:p>
        </w:tc>
        <w:tc>
          <w:tcPr>
            <w:tcW w:w="8106" w:type="dxa"/>
            <w:vAlign w:val="center"/>
          </w:tcPr>
          <w:p w14:paraId="09160313">
            <w:pPr>
              <w:pStyle w:val="13"/>
              <w:adjustRightInd w:val="0"/>
              <w:snapToGrid w:val="0"/>
              <w:spacing w:before="0" w:beforeAutospacing="0" w:after="0" w:afterAutospacing="0" w:line="360" w:lineRule="auto"/>
              <w:ind w:left="0" w:right="0" w:firstLine="420" w:firstLineChars="200"/>
              <w:rPr>
                <w:rFonts w:hint="eastAsia" w:ascii="宋体" w:hAnsi="宋体" w:eastAsia="宋体" w:cs="宋体"/>
                <w:color w:val="auto"/>
                <w:sz w:val="21"/>
                <w:szCs w:val="21"/>
                <w:highlight w:val="none"/>
                <w:lang w:eastAsia="zh-CN"/>
              </w:rPr>
            </w:pPr>
            <w:r>
              <w:rPr>
                <w:rFonts w:hint="eastAsia" w:ascii="Times New Roman" w:hAnsi="Times New Roman" w:cs="Times New Roman"/>
                <w:color w:val="auto"/>
                <w:sz w:val="21"/>
                <w:szCs w:val="21"/>
                <w:highlight w:val="none"/>
              </w:rPr>
              <w:t>响应文件：正本一份</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副本二份</w:t>
            </w:r>
            <w:r>
              <w:rPr>
                <w:rFonts w:hint="eastAsia" w:ascii="Times New Roman" w:hAnsi="Times New Roman" w:cs="Times New Roman"/>
                <w:color w:val="auto"/>
                <w:sz w:val="21"/>
                <w:szCs w:val="21"/>
                <w:highlight w:val="none"/>
                <w:lang w:eastAsia="zh-CN"/>
              </w:rPr>
              <w:t>，</w:t>
            </w:r>
            <w:r>
              <w:rPr>
                <w:rFonts w:hint="eastAsia" w:ascii="宋体" w:hAnsi="宋体" w:eastAsia="宋体" w:cs="宋体"/>
                <w:color w:val="auto"/>
                <w:sz w:val="21"/>
                <w:szCs w:val="21"/>
                <w:highlight w:val="none"/>
              </w:rPr>
              <w:t>电子版</w:t>
            </w:r>
            <w:r>
              <w:rPr>
                <w:rFonts w:hint="eastAsia" w:hAnsi="宋体" w:cs="宋体"/>
                <w:color w:val="auto"/>
                <w:sz w:val="21"/>
                <w:szCs w:val="21"/>
                <w:highlight w:val="none"/>
                <w:lang w:eastAsia="zh-CN"/>
              </w:rPr>
              <w:t>一</w:t>
            </w:r>
            <w:r>
              <w:rPr>
                <w:rFonts w:hint="eastAsia" w:ascii="宋体" w:hAnsi="宋体" w:eastAsia="宋体" w:cs="宋体"/>
                <w:color w:val="auto"/>
                <w:sz w:val="21"/>
                <w:szCs w:val="21"/>
                <w:highlight w:val="none"/>
              </w:rPr>
              <w:t>份</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U盘</w:t>
            </w:r>
            <w:r>
              <w:rPr>
                <w:rFonts w:hint="eastAsia" w:ascii="宋体" w:hAnsi="宋体" w:eastAsia="宋体" w:cs="宋体"/>
                <w:color w:val="auto"/>
                <w:kern w:val="0"/>
                <w:sz w:val="21"/>
                <w:szCs w:val="21"/>
                <w:highlight w:val="none"/>
              </w:rPr>
              <w:t>形式</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709C2C92">
            <w:pPr>
              <w:pStyle w:val="13"/>
              <w:adjustRightInd w:val="0"/>
              <w:snapToGrid w:val="0"/>
              <w:spacing w:before="0" w:beforeAutospacing="0" w:after="0" w:afterAutospacing="0" w:line="360" w:lineRule="auto"/>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供应商应将竞争性磋商响应文件正、副本</w:t>
            </w:r>
            <w:r>
              <w:rPr>
                <w:rFonts w:hint="eastAsia" w:ascii="宋体" w:hAnsi="宋体" w:eastAsia="宋体" w:cs="宋体"/>
                <w:b/>
                <w:bCs/>
                <w:color w:val="auto"/>
                <w:sz w:val="21"/>
                <w:szCs w:val="21"/>
                <w:highlight w:val="none"/>
              </w:rPr>
              <w:t>（正本一份，副本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份）</w:t>
            </w:r>
            <w:r>
              <w:rPr>
                <w:rFonts w:hint="eastAsia" w:ascii="宋体" w:hAnsi="宋体" w:eastAsia="宋体" w:cs="宋体"/>
                <w:color w:val="auto"/>
                <w:sz w:val="21"/>
                <w:szCs w:val="21"/>
                <w:highlight w:val="none"/>
              </w:rPr>
              <w:t>装入到一个竞争性磋商响应文件袋内，封装并加以密封，在每一封贴处密封签章【公章、密封章、法定代表人(负责人)、委托代理人签字等均可】（竞争性磋商响应文件的密封以文件袋无明显缝隙露出袋内文件表述内容且封口处有密封签章为合格）。在递交响应文件时，同时递交响应文件电子版（</w:t>
            </w:r>
            <w:r>
              <w:rPr>
                <w:rFonts w:hint="eastAsia" w:ascii="宋体" w:hAnsi="宋体" w:eastAsia="宋体" w:cs="宋体"/>
                <w:color w:val="auto"/>
                <w:kern w:val="0"/>
                <w:sz w:val="21"/>
                <w:szCs w:val="21"/>
                <w:highlight w:val="none"/>
              </w:rPr>
              <w:t>以U盘形式</w:t>
            </w:r>
            <w:r>
              <w:rPr>
                <w:rFonts w:hint="eastAsia" w:ascii="宋体" w:hAnsi="宋体" w:eastAsia="宋体" w:cs="宋体"/>
                <w:color w:val="auto"/>
                <w:sz w:val="21"/>
                <w:szCs w:val="21"/>
                <w:highlight w:val="none"/>
              </w:rPr>
              <w:t>）。</w:t>
            </w:r>
          </w:p>
        </w:tc>
      </w:tr>
      <w:tr w14:paraId="2C81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26" w:type="dxa"/>
            <w:vAlign w:val="center"/>
          </w:tcPr>
          <w:p w14:paraId="35B0BE29">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c>
          <w:tcPr>
            <w:tcW w:w="945" w:type="dxa"/>
            <w:vAlign w:val="center"/>
          </w:tcPr>
          <w:p w14:paraId="11EB75F9">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9.1</w:t>
            </w:r>
          </w:p>
        </w:tc>
        <w:tc>
          <w:tcPr>
            <w:tcW w:w="8106" w:type="dxa"/>
            <w:vAlign w:val="center"/>
          </w:tcPr>
          <w:p w14:paraId="5BA68B03">
            <w:pPr>
              <w:spacing w:before="0" w:beforeAutospacing="0" w:after="0" w:afterAutospacing="0" w:line="360" w:lineRule="auto"/>
              <w:ind w:left="0" w:right="0" w:firstLine="210" w:firstLineChars="100"/>
              <w:jc w:val="both"/>
              <w:rPr>
                <w:rFonts w:hint="default"/>
                <w:color w:val="auto"/>
                <w:sz w:val="21"/>
                <w:szCs w:val="21"/>
                <w:highlight w:val="none"/>
                <w:u w:val="single"/>
                <w:lang w:val="en-US"/>
              </w:rPr>
            </w:pPr>
            <w:r>
              <w:rPr>
                <w:rFonts w:hint="eastAsia" w:ascii="Times New Roman" w:hAnsi="Times New Roman" w:cs="Times New Roman"/>
                <w:color w:val="auto"/>
                <w:sz w:val="21"/>
                <w:szCs w:val="21"/>
                <w:highlight w:val="none"/>
              </w:rPr>
              <w:t>响应文件递交截止时间：</w:t>
            </w:r>
            <w:r>
              <w:rPr>
                <w:rFonts w:hint="eastAsia" w:ascii="Times New Roman"/>
                <w:color w:val="auto"/>
                <w:sz w:val="21"/>
                <w:szCs w:val="21"/>
                <w:highlight w:val="none"/>
                <w:u w:val="single"/>
                <w:lang w:val="en-US"/>
              </w:rPr>
              <w:t>202</w:t>
            </w:r>
            <w:r>
              <w:rPr>
                <w:rFonts w:hint="eastAsia" w:ascii="Times New Roman"/>
                <w:color w:val="auto"/>
                <w:sz w:val="21"/>
                <w:szCs w:val="21"/>
                <w:highlight w:val="none"/>
                <w:u w:val="single"/>
                <w:lang w:val="en-US" w:eastAsia="zh-CN"/>
              </w:rPr>
              <w:t>5</w:t>
            </w:r>
            <w:r>
              <w:rPr>
                <w:rFonts w:hint="eastAsia" w:ascii="Times New Roman"/>
                <w:color w:val="auto"/>
                <w:sz w:val="21"/>
                <w:szCs w:val="21"/>
                <w:highlight w:val="none"/>
                <w:u w:val="single"/>
                <w:lang w:val="en-US"/>
              </w:rPr>
              <w:t>年</w:t>
            </w:r>
            <w:r>
              <w:rPr>
                <w:rFonts w:hint="eastAsia" w:ascii="Times New Roman"/>
                <w:color w:val="auto"/>
                <w:sz w:val="21"/>
                <w:szCs w:val="21"/>
                <w:highlight w:val="none"/>
                <w:u w:val="single"/>
                <w:lang w:val="en-US" w:eastAsia="zh-CN"/>
              </w:rPr>
              <w:t xml:space="preserve"> 05 </w:t>
            </w:r>
            <w:r>
              <w:rPr>
                <w:rFonts w:hint="eastAsia" w:ascii="Times New Roman"/>
                <w:color w:val="auto"/>
                <w:sz w:val="21"/>
                <w:szCs w:val="21"/>
                <w:highlight w:val="none"/>
                <w:u w:val="single"/>
                <w:lang w:val="en-US"/>
              </w:rPr>
              <w:t>月</w:t>
            </w:r>
            <w:r>
              <w:rPr>
                <w:rFonts w:hint="eastAsia" w:ascii="Times New Roman"/>
                <w:color w:val="auto"/>
                <w:sz w:val="21"/>
                <w:szCs w:val="21"/>
                <w:highlight w:val="none"/>
                <w:u w:val="single"/>
                <w:lang w:val="en-US" w:eastAsia="zh-CN"/>
              </w:rPr>
              <w:t xml:space="preserve"> 19 </w:t>
            </w:r>
            <w:r>
              <w:rPr>
                <w:rFonts w:hint="eastAsia" w:ascii="Times New Roman"/>
                <w:color w:val="auto"/>
                <w:sz w:val="21"/>
                <w:szCs w:val="21"/>
                <w:highlight w:val="none"/>
                <w:u w:val="single"/>
                <w:lang w:val="en-US"/>
              </w:rPr>
              <w:t>日</w:t>
            </w:r>
            <w:r>
              <w:rPr>
                <w:rFonts w:hint="eastAsia" w:ascii="Times New Roman"/>
                <w:color w:val="auto"/>
                <w:sz w:val="21"/>
                <w:szCs w:val="21"/>
                <w:highlight w:val="none"/>
                <w:u w:val="single"/>
                <w:lang w:val="en-US" w:eastAsia="zh-CN"/>
              </w:rPr>
              <w:t xml:space="preserve"> 09 </w:t>
            </w:r>
            <w:r>
              <w:rPr>
                <w:rFonts w:hint="eastAsia" w:ascii="Times New Roman"/>
                <w:color w:val="auto"/>
                <w:sz w:val="21"/>
                <w:szCs w:val="21"/>
                <w:highlight w:val="none"/>
                <w:u w:val="single"/>
                <w:lang w:val="en-US"/>
              </w:rPr>
              <w:t>时</w:t>
            </w:r>
            <w:r>
              <w:rPr>
                <w:rFonts w:hint="eastAsia" w:ascii="Times New Roman"/>
                <w:color w:val="auto"/>
                <w:sz w:val="21"/>
                <w:szCs w:val="21"/>
                <w:highlight w:val="none"/>
                <w:u w:val="single"/>
                <w:lang w:val="en-US" w:eastAsia="zh-CN"/>
              </w:rPr>
              <w:t xml:space="preserve"> 30 </w:t>
            </w:r>
            <w:r>
              <w:rPr>
                <w:rFonts w:hint="eastAsia" w:ascii="Times New Roman"/>
                <w:color w:val="auto"/>
                <w:sz w:val="21"/>
                <w:szCs w:val="21"/>
                <w:highlight w:val="none"/>
                <w:u w:val="single"/>
                <w:lang w:val="en-US"/>
              </w:rPr>
              <w:t>分（北京时间）</w:t>
            </w:r>
          </w:p>
          <w:p w14:paraId="5C395639">
            <w:pPr>
              <w:pStyle w:val="13"/>
              <w:adjustRightInd w:val="0"/>
              <w:snapToGrid w:val="0"/>
              <w:spacing w:before="0" w:beforeAutospacing="0" w:after="0" w:afterAutospacing="0" w:line="360" w:lineRule="auto"/>
              <w:ind w:left="0" w:right="0" w:firstLine="210" w:firstLineChars="1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地址：广西瑞真工程造价咨询有限责任公司北海分公司开标室（北海市重庆路发展大厦A座701室）。</w:t>
            </w:r>
          </w:p>
        </w:tc>
      </w:tr>
      <w:tr w14:paraId="1F37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26" w:type="dxa"/>
            <w:vAlign w:val="center"/>
          </w:tcPr>
          <w:p w14:paraId="461F4BD0">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w:t>
            </w:r>
          </w:p>
        </w:tc>
        <w:tc>
          <w:tcPr>
            <w:tcW w:w="945" w:type="dxa"/>
            <w:vAlign w:val="center"/>
          </w:tcPr>
          <w:p w14:paraId="4A58811F">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9.2</w:t>
            </w:r>
          </w:p>
        </w:tc>
        <w:tc>
          <w:tcPr>
            <w:tcW w:w="8106" w:type="dxa"/>
            <w:vAlign w:val="center"/>
          </w:tcPr>
          <w:p w14:paraId="7099D8BB">
            <w:pPr>
              <w:pStyle w:val="13"/>
              <w:adjustRightInd w:val="0"/>
              <w:snapToGrid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响应文件有效期：响应文件递交截止日期后六十日。</w:t>
            </w:r>
          </w:p>
        </w:tc>
      </w:tr>
      <w:tr w14:paraId="13ED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6" w:type="dxa"/>
            <w:vAlign w:val="center"/>
          </w:tcPr>
          <w:p w14:paraId="55ADB5B3">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w:t>
            </w:r>
          </w:p>
        </w:tc>
        <w:tc>
          <w:tcPr>
            <w:tcW w:w="945" w:type="dxa"/>
            <w:vAlign w:val="center"/>
          </w:tcPr>
          <w:p w14:paraId="19E338F7">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11.0</w:t>
            </w:r>
          </w:p>
        </w:tc>
        <w:tc>
          <w:tcPr>
            <w:tcW w:w="8106" w:type="dxa"/>
            <w:vAlign w:val="center"/>
          </w:tcPr>
          <w:p w14:paraId="1E635827">
            <w:pPr>
              <w:pStyle w:val="13"/>
              <w:adjustRightInd w:val="0"/>
              <w:snapToGrid w:val="0"/>
              <w:spacing w:before="0" w:beforeAutospacing="0" w:after="0" w:afterAutospacing="0" w:line="240" w:lineRule="auto"/>
              <w:ind w:left="0" w:right="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磋商保证金（人民币）：</w:t>
            </w:r>
            <w:r>
              <w:rPr>
                <w:rFonts w:hint="eastAsia" w:ascii="Times New Roman" w:hAnsi="Times New Roman" w:eastAsia="宋体" w:cs="Times New Roman"/>
                <w:color w:val="auto"/>
                <w:sz w:val="21"/>
                <w:szCs w:val="21"/>
                <w:highlight w:val="none"/>
                <w:lang w:eastAsia="zh-CN"/>
              </w:rPr>
              <w:t>无</w:t>
            </w:r>
          </w:p>
        </w:tc>
      </w:tr>
      <w:tr w14:paraId="464B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6" w:type="dxa"/>
            <w:vAlign w:val="center"/>
          </w:tcPr>
          <w:p w14:paraId="68275847">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w:t>
            </w:r>
          </w:p>
        </w:tc>
        <w:tc>
          <w:tcPr>
            <w:tcW w:w="945" w:type="dxa"/>
            <w:vAlign w:val="center"/>
          </w:tcPr>
          <w:p w14:paraId="2D9116E3">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12.1</w:t>
            </w:r>
          </w:p>
        </w:tc>
        <w:tc>
          <w:tcPr>
            <w:tcW w:w="8106" w:type="dxa"/>
            <w:vAlign w:val="center"/>
          </w:tcPr>
          <w:p w14:paraId="2E69426C">
            <w:pPr>
              <w:spacing w:before="0" w:beforeAutospacing="0" w:after="0" w:afterAutospacing="0" w:line="360" w:lineRule="auto"/>
              <w:ind w:left="0" w:right="0" w:firstLine="0" w:firstLineChars="0"/>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磋商时间：</w:t>
            </w:r>
            <w:r>
              <w:rPr>
                <w:rFonts w:hint="eastAsia" w:ascii="Times New Roman"/>
                <w:color w:val="auto"/>
                <w:sz w:val="21"/>
                <w:szCs w:val="21"/>
                <w:highlight w:val="none"/>
                <w:u w:val="single"/>
                <w:lang w:val="en-US"/>
              </w:rPr>
              <w:t>202</w:t>
            </w:r>
            <w:r>
              <w:rPr>
                <w:rFonts w:hint="eastAsia" w:ascii="Times New Roman"/>
                <w:color w:val="auto"/>
                <w:sz w:val="21"/>
                <w:szCs w:val="21"/>
                <w:highlight w:val="none"/>
                <w:u w:val="single"/>
                <w:lang w:val="en-US" w:eastAsia="zh-CN"/>
              </w:rPr>
              <w:t>5</w:t>
            </w:r>
            <w:r>
              <w:rPr>
                <w:rFonts w:hint="eastAsia" w:ascii="Times New Roman"/>
                <w:color w:val="auto"/>
                <w:sz w:val="21"/>
                <w:szCs w:val="21"/>
                <w:highlight w:val="none"/>
                <w:u w:val="single"/>
                <w:lang w:val="en-US"/>
              </w:rPr>
              <w:t>年</w:t>
            </w:r>
            <w:r>
              <w:rPr>
                <w:rFonts w:hint="eastAsia" w:ascii="Times New Roman"/>
                <w:color w:val="auto"/>
                <w:sz w:val="21"/>
                <w:szCs w:val="21"/>
                <w:highlight w:val="none"/>
                <w:u w:val="single"/>
                <w:lang w:val="en-US" w:eastAsia="zh-CN"/>
              </w:rPr>
              <w:t xml:space="preserve"> 05 </w:t>
            </w:r>
            <w:r>
              <w:rPr>
                <w:rFonts w:hint="eastAsia" w:ascii="Times New Roman"/>
                <w:color w:val="auto"/>
                <w:sz w:val="21"/>
                <w:szCs w:val="21"/>
                <w:highlight w:val="none"/>
                <w:u w:val="single"/>
                <w:lang w:val="en-US"/>
              </w:rPr>
              <w:t>月</w:t>
            </w:r>
            <w:r>
              <w:rPr>
                <w:rFonts w:hint="eastAsia" w:ascii="Times New Roman"/>
                <w:color w:val="auto"/>
                <w:sz w:val="21"/>
                <w:szCs w:val="21"/>
                <w:highlight w:val="none"/>
                <w:u w:val="single"/>
                <w:lang w:val="en-US" w:eastAsia="zh-CN"/>
              </w:rPr>
              <w:t xml:space="preserve"> 19 </w:t>
            </w:r>
            <w:r>
              <w:rPr>
                <w:rFonts w:hint="eastAsia" w:ascii="Times New Roman"/>
                <w:color w:val="auto"/>
                <w:sz w:val="21"/>
                <w:szCs w:val="21"/>
                <w:highlight w:val="none"/>
                <w:u w:val="single"/>
                <w:lang w:val="en-US"/>
              </w:rPr>
              <w:t>日</w:t>
            </w:r>
            <w:r>
              <w:rPr>
                <w:rFonts w:hint="eastAsia" w:ascii="Times New Roman"/>
                <w:color w:val="auto"/>
                <w:sz w:val="21"/>
                <w:szCs w:val="21"/>
                <w:highlight w:val="none"/>
                <w:u w:val="single"/>
                <w:lang w:val="en-US" w:eastAsia="zh-CN"/>
              </w:rPr>
              <w:t xml:space="preserve"> 09 </w:t>
            </w:r>
            <w:r>
              <w:rPr>
                <w:rFonts w:hint="eastAsia" w:ascii="Times New Roman"/>
                <w:color w:val="auto"/>
                <w:sz w:val="21"/>
                <w:szCs w:val="21"/>
                <w:highlight w:val="none"/>
                <w:u w:val="single"/>
                <w:lang w:val="en-US"/>
              </w:rPr>
              <w:t>时</w:t>
            </w:r>
            <w:r>
              <w:rPr>
                <w:rFonts w:hint="eastAsia" w:ascii="Times New Roman"/>
                <w:color w:val="auto"/>
                <w:sz w:val="21"/>
                <w:szCs w:val="21"/>
                <w:highlight w:val="none"/>
                <w:u w:val="single"/>
                <w:lang w:val="en-US" w:eastAsia="zh-CN"/>
              </w:rPr>
              <w:t xml:space="preserve"> 30 </w:t>
            </w:r>
            <w:r>
              <w:rPr>
                <w:rFonts w:hint="eastAsia" w:ascii="Times New Roman"/>
                <w:color w:val="auto"/>
                <w:sz w:val="21"/>
                <w:szCs w:val="21"/>
                <w:highlight w:val="none"/>
                <w:u w:val="single"/>
                <w:lang w:val="en-US"/>
              </w:rPr>
              <w:t>分（北京时间）</w:t>
            </w:r>
            <w:r>
              <w:rPr>
                <w:rFonts w:hint="eastAsia" w:ascii="Times New Roman" w:hAnsi="Times New Roman" w:cs="Times New Roman"/>
                <w:color w:val="auto"/>
                <w:sz w:val="21"/>
                <w:szCs w:val="21"/>
                <w:highlight w:val="none"/>
              </w:rPr>
              <w:t>截标后（具体时间由广西瑞真工程造价咨询有限责任公司另行通知），磋商地点：截标时另行通知</w:t>
            </w:r>
            <w:r>
              <w:rPr>
                <w:rFonts w:hint="eastAsia" w:ascii="Times New Roman" w:hAnsi="Times New Roman" w:cs="Times New Roman"/>
                <w:color w:val="auto"/>
                <w:sz w:val="21"/>
                <w:szCs w:val="21"/>
                <w:highlight w:val="none"/>
                <w:lang w:eastAsia="zh-CN"/>
              </w:rPr>
              <w:t>。</w:t>
            </w:r>
          </w:p>
        </w:tc>
      </w:tr>
      <w:tr w14:paraId="1B1C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12263CAB">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w:t>
            </w:r>
          </w:p>
        </w:tc>
        <w:tc>
          <w:tcPr>
            <w:tcW w:w="945" w:type="dxa"/>
            <w:vAlign w:val="center"/>
          </w:tcPr>
          <w:p w14:paraId="6467260A">
            <w:pPr>
              <w:pStyle w:val="13"/>
              <w:adjustRightInd w:val="0"/>
              <w:snapToGrid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12.6</w:t>
            </w:r>
          </w:p>
        </w:tc>
        <w:tc>
          <w:tcPr>
            <w:tcW w:w="8106" w:type="dxa"/>
            <w:vAlign w:val="center"/>
          </w:tcPr>
          <w:p w14:paraId="2A23054E">
            <w:pPr>
              <w:pStyle w:val="13"/>
              <w:adjustRightInd w:val="0"/>
              <w:snapToGrid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评审方法：综合评分法（详细见第六章）</w:t>
            </w:r>
          </w:p>
        </w:tc>
      </w:tr>
      <w:tr w14:paraId="6251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26" w:type="dxa"/>
            <w:vAlign w:val="center"/>
          </w:tcPr>
          <w:p w14:paraId="3048BF69">
            <w:pPr>
              <w:pStyle w:val="13"/>
              <w:adjustRightInd w:val="0"/>
              <w:snapToGrid w:val="0"/>
              <w:spacing w:before="0" w:beforeAutospacing="0" w:after="0" w:afterAutospacing="0" w:line="360" w:lineRule="auto"/>
              <w:ind w:left="0" w:right="0" w:firstLine="210" w:firstLineChars="1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c>
          <w:tcPr>
            <w:tcW w:w="945" w:type="dxa"/>
            <w:vAlign w:val="center"/>
          </w:tcPr>
          <w:p w14:paraId="6DE61B8B">
            <w:pPr>
              <w:pStyle w:val="13"/>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p>
        </w:tc>
        <w:tc>
          <w:tcPr>
            <w:tcW w:w="8106" w:type="dxa"/>
            <w:vAlign w:val="center"/>
          </w:tcPr>
          <w:p w14:paraId="61FF972C">
            <w:pPr>
              <w:pStyle w:val="13"/>
              <w:adjustRightInd w:val="0"/>
              <w:snapToGrid w:val="0"/>
              <w:spacing w:before="0" w:beforeAutospacing="0" w:after="0" w:afterAutospacing="0" w:line="360" w:lineRule="auto"/>
              <w:ind w:left="0" w:right="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磋商报价及费用：1.本项目投标应以人民币报价；2.不论投标结果如何，竞标人均应自行承担所有与投标有关的全部费用；</w:t>
            </w:r>
            <w:r>
              <w:rPr>
                <w:rFonts w:hint="eastAsia" w:ascii="Times New Roman" w:hAnsi="Times New Roman" w:eastAsia="宋体" w:cs="Times New Roman"/>
                <w:color w:val="auto"/>
                <w:sz w:val="21"/>
                <w:szCs w:val="21"/>
                <w:highlight w:val="none"/>
              </w:rPr>
              <w:t>3.本项目代理服务费</w:t>
            </w:r>
            <w:r>
              <w:rPr>
                <w:rFonts w:hint="eastAsia" w:ascii="Times New Roman" w:hAnsi="Times New Roman" w:eastAsia="宋体" w:cs="Times New Roman"/>
                <w:color w:val="auto"/>
                <w:sz w:val="21"/>
                <w:szCs w:val="21"/>
                <w:highlight w:val="none"/>
                <w:lang w:eastAsia="zh-CN"/>
              </w:rPr>
              <w:t>参照《国家发展改革委关于降低部分建设项目收费标准规范收费行为等有关问题的通知》(发改价格[2011]534号)和桂价费[2011] 55号文件的招标代理服务费收费标准</w:t>
            </w:r>
            <w:r>
              <w:rPr>
                <w:rFonts w:hint="eastAsia" w:ascii="Times New Roman" w:hAnsi="Times New Roman" w:eastAsia="宋体" w:cs="Times New Roman"/>
                <w:color w:val="auto"/>
                <w:sz w:val="21"/>
                <w:szCs w:val="21"/>
                <w:highlight w:val="none"/>
              </w:rPr>
              <w:t>向中标人收取服务费</w:t>
            </w: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lang w:eastAsia="zh-CN"/>
              </w:rPr>
              <w:t>招标代理服务费不足</w:t>
            </w:r>
            <w:r>
              <w:rPr>
                <w:rFonts w:hint="eastAsia" w:ascii="Times New Roman" w:hAnsi="Times New Roman" w:eastAsia="宋体" w:cs="Times New Roman"/>
                <w:color w:val="auto"/>
                <w:sz w:val="21"/>
                <w:szCs w:val="21"/>
                <w:highlight w:val="none"/>
                <w:lang w:val="en-US" w:eastAsia="zh-CN"/>
              </w:rPr>
              <w:t>3000元按3000元收取。</w:t>
            </w:r>
          </w:p>
        </w:tc>
      </w:tr>
    </w:tbl>
    <w:p w14:paraId="20815805">
      <w:pPr>
        <w:spacing w:line="360" w:lineRule="auto"/>
        <w:rPr>
          <w:b/>
          <w:color w:val="auto"/>
          <w:sz w:val="32"/>
          <w:highlight w:val="none"/>
        </w:rPr>
      </w:pPr>
      <w:r>
        <w:rPr>
          <w:b/>
          <w:color w:val="auto"/>
          <w:sz w:val="32"/>
          <w:highlight w:val="none"/>
        </w:rPr>
        <w:br w:type="page"/>
      </w:r>
    </w:p>
    <w:p w14:paraId="239CF6DE">
      <w:pPr>
        <w:spacing w:before="33" w:line="360" w:lineRule="auto"/>
        <w:ind w:right="52"/>
        <w:jc w:val="center"/>
        <w:rPr>
          <w:b/>
          <w:color w:val="auto"/>
          <w:sz w:val="32"/>
          <w:highlight w:val="none"/>
        </w:rPr>
      </w:pPr>
      <w:r>
        <w:rPr>
          <w:b/>
          <w:color w:val="auto"/>
          <w:sz w:val="32"/>
          <w:highlight w:val="none"/>
        </w:rPr>
        <w:t>磋商须知</w:t>
      </w:r>
    </w:p>
    <w:p w14:paraId="655FB213">
      <w:pPr>
        <w:adjustRightInd w:val="0"/>
        <w:snapToGrid w:val="0"/>
        <w:spacing w:line="360" w:lineRule="auto"/>
        <w:ind w:firstLine="442" w:firstLineChars="200"/>
        <w:rPr>
          <w:b/>
          <w:color w:val="auto"/>
          <w:szCs w:val="21"/>
          <w:highlight w:val="none"/>
        </w:rPr>
      </w:pPr>
      <w:r>
        <w:rPr>
          <w:rFonts w:hint="eastAsia"/>
          <w:b/>
          <w:color w:val="auto"/>
          <w:szCs w:val="21"/>
          <w:highlight w:val="none"/>
        </w:rPr>
        <w:t>一、总　则</w:t>
      </w:r>
    </w:p>
    <w:p w14:paraId="1DF9BE85">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 适用范围</w:t>
      </w:r>
    </w:p>
    <w:p w14:paraId="7659F2AB">
      <w:pPr>
        <w:spacing w:before="0" w:beforeAutospacing="0" w:after="0" w:afterAutospacing="0" w:line="360" w:lineRule="auto"/>
        <w:ind w:left="0" w:right="0" w:firstLine="420" w:firstLineChars="200"/>
        <w:rPr>
          <w:rFonts w:hint="eastAsia" w:ascii="宋体" w:hAnsi="宋体" w:eastAsia="宋体" w:cs="宋体"/>
          <w:color w:val="auto"/>
          <w:sz w:val="21"/>
          <w:szCs w:val="21"/>
          <w:highlight w:val="none"/>
          <w:lang w:val="en-US"/>
        </w:rPr>
      </w:pPr>
      <w:r>
        <w:rPr>
          <w:rFonts w:hint="eastAsia"/>
          <w:color w:val="auto"/>
          <w:sz w:val="21"/>
          <w:szCs w:val="21"/>
          <w:highlight w:val="none"/>
        </w:rPr>
        <w:t>1.1项目名称：</w:t>
      </w:r>
      <w:r>
        <w:rPr>
          <w:rFonts w:hint="eastAsia" w:cs="宋体"/>
          <w:color w:val="auto"/>
          <w:sz w:val="21"/>
          <w:szCs w:val="21"/>
          <w:highlight w:val="none"/>
          <w:lang w:val="en-US" w:eastAsia="zh-CN"/>
        </w:rPr>
        <w:t>2025—2026年度北海市区控市级环境空气和大气降水自动监测站运行维护服务</w:t>
      </w:r>
    </w:p>
    <w:p w14:paraId="3CF3F78A">
      <w:pPr>
        <w:tabs>
          <w:tab w:val="left" w:pos="9639"/>
          <w:tab w:val="left" w:pos="9746"/>
        </w:tabs>
        <w:adjustRightInd w:val="0"/>
        <w:snapToGrid w:val="0"/>
        <w:spacing w:line="360" w:lineRule="auto"/>
        <w:ind w:firstLine="420" w:firstLineChars="200"/>
        <w:rPr>
          <w:rFonts w:hint="default" w:eastAsia="宋体" w:cs="Times New Roman"/>
          <w:color w:val="auto"/>
          <w:sz w:val="21"/>
          <w:szCs w:val="21"/>
          <w:highlight w:val="none"/>
          <w:lang w:val="en-US" w:eastAsia="zh-CN"/>
        </w:rPr>
      </w:pPr>
      <w:r>
        <w:rPr>
          <w:rFonts w:hint="eastAsia" w:cs="Times New Roman"/>
          <w:color w:val="auto"/>
          <w:sz w:val="21"/>
          <w:szCs w:val="21"/>
          <w:highlight w:val="none"/>
        </w:rPr>
        <w:t>项目编号：</w:t>
      </w:r>
      <w:r>
        <w:rPr>
          <w:rFonts w:hint="eastAsia" w:cs="宋体"/>
          <w:color w:val="auto"/>
          <w:sz w:val="21"/>
          <w:szCs w:val="21"/>
          <w:highlight w:val="none"/>
          <w:lang w:val="en-US" w:eastAsia="zh-CN"/>
        </w:rPr>
        <w:t>GXRZBH-2025-008</w:t>
      </w:r>
    </w:p>
    <w:p w14:paraId="500B34A5">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本文件仅适用于本文件中所叙述的服务类政府采购项目。</w:t>
      </w:r>
    </w:p>
    <w:p w14:paraId="56C49D88">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 定义</w:t>
      </w:r>
    </w:p>
    <w:p w14:paraId="20B4409C">
      <w:pPr>
        <w:tabs>
          <w:tab w:val="left" w:pos="9639"/>
          <w:tab w:val="left" w:pos="9746"/>
        </w:tabs>
        <w:adjustRightInd w:val="0"/>
        <w:snapToGrid w:val="0"/>
        <w:spacing w:line="360" w:lineRule="auto"/>
        <w:ind w:firstLine="420" w:firstLineChars="200"/>
        <w:rPr>
          <w:rFonts w:hint="eastAsia" w:ascii="宋体" w:hAnsi="宋体" w:eastAsia="宋体" w:cs="Arial"/>
          <w:color w:val="auto"/>
          <w:sz w:val="21"/>
          <w:szCs w:val="21"/>
          <w:highlight w:val="none"/>
          <w:lang w:val="en-US" w:eastAsia="zh-CN"/>
        </w:rPr>
      </w:pPr>
      <w:r>
        <w:rPr>
          <w:rFonts w:hint="eastAsia"/>
          <w:color w:val="auto"/>
          <w:sz w:val="21"/>
          <w:szCs w:val="21"/>
          <w:highlight w:val="none"/>
        </w:rPr>
        <w:t>2.1“采购人”是指：</w:t>
      </w:r>
      <w:r>
        <w:rPr>
          <w:rFonts w:hint="eastAsia" w:cs="宋体"/>
          <w:color w:val="auto"/>
          <w:szCs w:val="21"/>
          <w:highlight w:val="none"/>
          <w:lang w:eastAsia="zh-CN"/>
        </w:rPr>
        <w:t>广西壮族自治区北海生态环境监测中心</w:t>
      </w:r>
    </w:p>
    <w:p w14:paraId="36FD621B">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2.2“采购代理机构”是指：广西瑞真工程造价咨询有限责任公司(以下简称“</w:t>
      </w:r>
      <w:r>
        <w:rPr>
          <w:rFonts w:hint="eastAsia"/>
          <w:color w:val="auto"/>
          <w:sz w:val="21"/>
          <w:szCs w:val="21"/>
          <w:highlight w:val="none"/>
          <w:lang w:eastAsia="zh-CN"/>
        </w:rPr>
        <w:t>本公司</w:t>
      </w:r>
      <w:r>
        <w:rPr>
          <w:rFonts w:hint="eastAsia"/>
          <w:color w:val="auto"/>
          <w:sz w:val="21"/>
          <w:szCs w:val="21"/>
          <w:highlight w:val="none"/>
        </w:rPr>
        <w:t>”)。</w:t>
      </w:r>
    </w:p>
    <w:p w14:paraId="2AE13A77">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2.3“供应商”是指响应本文件要求，参加磋商的法人组织。如果该供应商在本次磋商中成交,即成为“成交供应商”。</w:t>
      </w:r>
    </w:p>
    <w:p w14:paraId="31AE3D30">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2.4“货物”是指各种形态和种类的物品，包括原材料、燃料、设备、产品等。</w:t>
      </w:r>
    </w:p>
    <w:p w14:paraId="10685183">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2.5“服务”是指除货物和工程以外的其他政府采购对象。</w:t>
      </w:r>
    </w:p>
    <w:p w14:paraId="07814E1D">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2.6“竞争性磋商响应文件”是指：供应商根据本文件要求，编制包含报价、技术和服务等所有内容的文件。</w:t>
      </w:r>
    </w:p>
    <w:p w14:paraId="1A0A3628">
      <w:pPr>
        <w:adjustRightInd w:val="0"/>
        <w:snapToGrid w:val="0"/>
        <w:spacing w:line="360" w:lineRule="auto"/>
        <w:ind w:firstLine="442" w:firstLineChars="200"/>
        <w:rPr>
          <w:b/>
          <w:color w:val="auto"/>
          <w:szCs w:val="21"/>
          <w:highlight w:val="none"/>
        </w:rPr>
      </w:pPr>
      <w:r>
        <w:rPr>
          <w:rFonts w:hint="eastAsia"/>
          <w:b/>
          <w:color w:val="auto"/>
          <w:szCs w:val="21"/>
          <w:highlight w:val="none"/>
        </w:rPr>
        <w:t>3. 供应商资格条件</w:t>
      </w:r>
    </w:p>
    <w:p w14:paraId="36F84ED3">
      <w:pPr>
        <w:bidi w:val="0"/>
        <w:spacing w:line="360" w:lineRule="auto"/>
        <w:ind w:left="0" w:leftChars="0" w:firstLine="438" w:firstLineChars="209"/>
        <w:rPr>
          <w:rFonts w:hint="eastAsia"/>
          <w:color w:val="auto"/>
          <w:sz w:val="21"/>
          <w:szCs w:val="21"/>
        </w:rPr>
      </w:pPr>
      <w:r>
        <w:rPr>
          <w:rFonts w:hint="eastAsia"/>
          <w:color w:val="auto"/>
          <w:sz w:val="21"/>
          <w:szCs w:val="21"/>
          <w:lang w:val="en-US" w:eastAsia="zh-CN"/>
        </w:rPr>
        <w:t>3.1满足《中华人民共和国政府招标法》第二十二条规定</w:t>
      </w:r>
      <w:r>
        <w:rPr>
          <w:rFonts w:hint="eastAsia"/>
          <w:color w:val="auto"/>
          <w:sz w:val="21"/>
          <w:szCs w:val="21"/>
        </w:rPr>
        <w:t>；</w:t>
      </w:r>
    </w:p>
    <w:p w14:paraId="525A143F">
      <w:pPr>
        <w:bidi w:val="0"/>
        <w:spacing w:line="360" w:lineRule="auto"/>
        <w:ind w:left="0" w:leftChars="0" w:firstLine="438" w:firstLineChars="209"/>
        <w:rPr>
          <w:rFonts w:hint="eastAsia"/>
          <w:color w:val="auto"/>
          <w:sz w:val="21"/>
          <w:szCs w:val="21"/>
        </w:rPr>
      </w:pPr>
      <w:r>
        <w:rPr>
          <w:rFonts w:hint="eastAsia"/>
          <w:color w:val="auto"/>
          <w:sz w:val="21"/>
          <w:szCs w:val="21"/>
          <w:lang w:val="en-US" w:eastAsia="zh-CN"/>
        </w:rPr>
        <w:t>3.2</w:t>
      </w:r>
      <w:r>
        <w:rPr>
          <w:rFonts w:hint="eastAsia"/>
          <w:color w:val="auto"/>
          <w:sz w:val="21"/>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1A2A6AB">
      <w:pPr>
        <w:bidi w:val="0"/>
        <w:spacing w:line="360" w:lineRule="auto"/>
        <w:ind w:left="0" w:leftChars="0" w:firstLine="438" w:firstLineChars="209"/>
        <w:rPr>
          <w:rFonts w:hint="eastAsia"/>
          <w:color w:val="auto"/>
          <w:sz w:val="21"/>
          <w:szCs w:val="21"/>
        </w:rPr>
      </w:pPr>
      <w:r>
        <w:rPr>
          <w:rFonts w:hint="eastAsia"/>
          <w:color w:val="auto"/>
          <w:sz w:val="21"/>
          <w:szCs w:val="21"/>
          <w:lang w:val="en-US" w:eastAsia="zh-CN"/>
        </w:rPr>
        <w:t>3.3</w:t>
      </w:r>
      <w:r>
        <w:rPr>
          <w:rFonts w:hint="eastAsia"/>
          <w:color w:val="auto"/>
          <w:sz w:val="21"/>
          <w:szCs w:val="21"/>
        </w:rPr>
        <w:t>本项目不接受联合体参加竞标。</w:t>
      </w:r>
    </w:p>
    <w:p w14:paraId="1AA01E52">
      <w:pPr>
        <w:adjustRightInd w:val="0"/>
        <w:snapToGrid w:val="0"/>
        <w:spacing w:line="360" w:lineRule="auto"/>
        <w:ind w:firstLine="442" w:firstLineChars="200"/>
        <w:rPr>
          <w:b/>
          <w:color w:val="auto"/>
          <w:szCs w:val="21"/>
          <w:highlight w:val="none"/>
        </w:rPr>
      </w:pPr>
      <w:r>
        <w:rPr>
          <w:rFonts w:hint="eastAsia"/>
          <w:b/>
          <w:color w:val="auto"/>
          <w:szCs w:val="21"/>
          <w:highlight w:val="none"/>
        </w:rPr>
        <w:t>4. 磋商费用、竞争性磋商公告、竞争性磋商文件的澄清和修改</w:t>
      </w:r>
    </w:p>
    <w:p w14:paraId="7C6372A0">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4.1磋商费用：供应商应自行承担所有与编写和提交竞争性磋商响应文件有关的费用，不论磋商结果如何，采购人和</w:t>
      </w:r>
      <w:r>
        <w:rPr>
          <w:rFonts w:hint="eastAsia"/>
          <w:color w:val="auto"/>
          <w:sz w:val="21"/>
          <w:szCs w:val="21"/>
          <w:highlight w:val="none"/>
          <w:lang w:eastAsia="zh-CN"/>
        </w:rPr>
        <w:t>本公司</w:t>
      </w:r>
      <w:r>
        <w:rPr>
          <w:rFonts w:hint="eastAsia"/>
          <w:color w:val="auto"/>
          <w:sz w:val="21"/>
          <w:szCs w:val="21"/>
          <w:highlight w:val="none"/>
        </w:rPr>
        <w:t>在任何情况下无义务和责任承担此类费用。</w:t>
      </w:r>
    </w:p>
    <w:p w14:paraId="10D7CBA6">
      <w:pPr>
        <w:pStyle w:val="21"/>
        <w:spacing w:before="75" w:beforeAutospacing="0" w:after="75" w:afterAutospacing="0" w:line="360" w:lineRule="auto"/>
        <w:ind w:firstLine="420" w:firstLineChars="200"/>
        <w:rPr>
          <w:color w:val="auto"/>
          <w:sz w:val="21"/>
          <w:szCs w:val="21"/>
          <w:highlight w:val="none"/>
        </w:rPr>
      </w:pPr>
      <w:r>
        <w:rPr>
          <w:rFonts w:hint="eastAsia"/>
          <w:color w:val="auto"/>
          <w:sz w:val="21"/>
          <w:szCs w:val="21"/>
          <w:highlight w:val="none"/>
        </w:rPr>
        <w:t>4.2竞争性磋商公告：</w:t>
      </w:r>
      <w:r>
        <w:rPr>
          <w:rFonts w:hint="eastAsia"/>
          <w:color w:val="auto"/>
          <w:sz w:val="21"/>
          <w:szCs w:val="21"/>
          <w:highlight w:val="none"/>
          <w:lang w:val="en-US" w:eastAsia="zh-CN"/>
        </w:rPr>
        <w:t>中国采购与招标网</w:t>
      </w:r>
      <w:r>
        <w:rPr>
          <w:rFonts w:hint="eastAsia"/>
          <w:color w:val="auto"/>
          <w:sz w:val="21"/>
          <w:szCs w:val="21"/>
          <w:highlight w:val="none"/>
          <w:lang w:val="en-US" w:eastAsia="zh-CN"/>
        </w:rPr>
        <w:fldChar w:fldCharType="begin"/>
      </w:r>
      <w:r>
        <w:rPr>
          <w:rFonts w:hint="eastAsia"/>
          <w:color w:val="auto"/>
          <w:sz w:val="21"/>
          <w:szCs w:val="21"/>
          <w:highlight w:val="none"/>
          <w:lang w:val="en-US" w:eastAsia="zh-CN"/>
        </w:rPr>
        <w:instrText xml:space="preserve"> HYPERLINK "http://www.chinabidding.com.cn/" </w:instrText>
      </w:r>
      <w:r>
        <w:rPr>
          <w:rFonts w:hint="eastAsia"/>
          <w:color w:val="auto"/>
          <w:sz w:val="21"/>
          <w:szCs w:val="21"/>
          <w:highlight w:val="none"/>
          <w:lang w:val="en-US" w:eastAsia="zh-CN"/>
        </w:rPr>
        <w:fldChar w:fldCharType="separate"/>
      </w:r>
      <w:r>
        <w:rPr>
          <w:rFonts w:hint="eastAsia"/>
          <w:color w:val="auto"/>
          <w:sz w:val="21"/>
          <w:szCs w:val="21"/>
          <w:highlight w:val="none"/>
          <w:lang w:val="en-US" w:eastAsia="zh-CN"/>
        </w:rPr>
        <w:t>www.chinabidding.com.cn</w:t>
      </w:r>
      <w:r>
        <w:rPr>
          <w:rFonts w:hint="eastAsia"/>
          <w:color w:val="auto"/>
          <w:sz w:val="21"/>
          <w:szCs w:val="21"/>
          <w:highlight w:val="none"/>
          <w:lang w:val="en-US" w:eastAsia="zh-CN"/>
        </w:rPr>
        <w:fldChar w:fldCharType="end"/>
      </w:r>
      <w:r>
        <w:rPr>
          <w:rFonts w:hint="eastAsia"/>
          <w:color w:val="auto"/>
          <w:sz w:val="21"/>
          <w:szCs w:val="21"/>
          <w:highlight w:val="none"/>
          <w:lang w:val="en-US" w:eastAsia="zh-CN"/>
        </w:rPr>
        <w:t>、</w:t>
      </w:r>
      <w:r>
        <w:rPr>
          <w:rFonts w:hint="eastAsia" w:ascii="宋体" w:hAnsi="宋体" w:eastAsia="宋体" w:cs="宋体"/>
          <w:b w:val="0"/>
          <w:bCs w:val="0"/>
          <w:color w:val="auto"/>
          <w:kern w:val="2"/>
          <w:sz w:val="21"/>
          <w:szCs w:val="21"/>
          <w:lang w:val="en-US" w:eastAsia="zh-CN"/>
        </w:rPr>
        <w:t>广西瑞真工程造价咨询有限责任公司http://www.gxruizhen.com/</w:t>
      </w:r>
      <w:r>
        <w:rPr>
          <w:rFonts w:hint="eastAsia"/>
          <w:color w:val="auto"/>
          <w:sz w:val="21"/>
          <w:szCs w:val="21"/>
          <w:highlight w:val="none"/>
          <w:lang w:val="en-US"/>
        </w:rPr>
        <w:t>上发布</w:t>
      </w:r>
      <w:r>
        <w:rPr>
          <w:rFonts w:hint="eastAsia"/>
          <w:color w:val="auto"/>
          <w:sz w:val="21"/>
          <w:szCs w:val="21"/>
          <w:highlight w:val="none"/>
        </w:rPr>
        <w:t>。</w:t>
      </w:r>
    </w:p>
    <w:p w14:paraId="37C7E248">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4.3竞争性磋商文件的澄清和修改：</w:t>
      </w:r>
    </w:p>
    <w:p w14:paraId="73ACE1D8">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4.3.1</w:t>
      </w:r>
      <w:r>
        <w:rPr>
          <w:rFonts w:hint="eastAsia" w:hAnsi="宋体"/>
          <w:bCs/>
          <w:color w:val="auto"/>
          <w:sz w:val="21"/>
          <w:szCs w:val="21"/>
          <w:highlight w:val="none"/>
        </w:rPr>
        <w:t>供应商应认真审核《采购需求》中的服务要求，如发现采购需求中服务要求有误或要求不合理的，供应商必须在规定的时间前要求澄清，否则，由此产生的后果由供应商负责。</w:t>
      </w:r>
    </w:p>
    <w:p w14:paraId="119F371C">
      <w:pPr>
        <w:pStyle w:val="13"/>
        <w:adjustRightInd w:val="0"/>
        <w:snapToGrid w:val="0"/>
        <w:spacing w:before="75" w:beforeAutospacing="0" w:after="75" w:afterAutospacing="0" w:line="480" w:lineRule="exact"/>
        <w:ind w:firstLine="420" w:firstLineChars="200"/>
        <w:rPr>
          <w:rFonts w:hint="eastAsia" w:ascii="宋体" w:hAnsi="宋体" w:eastAsia="宋体" w:cs="Courier New"/>
          <w:color w:val="auto"/>
          <w:sz w:val="21"/>
          <w:szCs w:val="21"/>
          <w:highlight w:val="none"/>
          <w:lang w:val="zh-CN" w:eastAsia="zh-CN" w:bidi="zh-CN"/>
        </w:rPr>
      </w:pPr>
      <w:r>
        <w:rPr>
          <w:rFonts w:hint="eastAsia" w:hAnsi="宋体"/>
          <w:color w:val="auto"/>
          <w:sz w:val="21"/>
          <w:szCs w:val="21"/>
          <w:highlight w:val="none"/>
        </w:rPr>
        <w:t>4.3.2任何要求澄清竞争性磋商文件的供应商，均应在响应文件递交截止日期三日前的正常工作时间以传真等书面形式通知</w:t>
      </w:r>
      <w:r>
        <w:rPr>
          <w:rFonts w:hint="eastAsia" w:hAnsi="宋体"/>
          <w:color w:val="auto"/>
          <w:sz w:val="21"/>
          <w:szCs w:val="21"/>
          <w:highlight w:val="none"/>
          <w:lang w:eastAsia="zh-CN"/>
        </w:rPr>
        <w:t>本公司</w:t>
      </w:r>
      <w:r>
        <w:rPr>
          <w:rFonts w:hint="eastAsia" w:hAnsi="宋体"/>
          <w:color w:val="auto"/>
          <w:sz w:val="21"/>
          <w:szCs w:val="21"/>
          <w:highlight w:val="none"/>
        </w:rPr>
        <w:t>，同时认定其他澄清方式为无效。</w:t>
      </w:r>
      <w:r>
        <w:rPr>
          <w:rFonts w:hint="eastAsia" w:hAnsi="宋体"/>
          <w:color w:val="auto"/>
          <w:sz w:val="21"/>
          <w:szCs w:val="21"/>
          <w:highlight w:val="none"/>
          <w:lang w:eastAsia="zh-CN"/>
        </w:rPr>
        <w:t>本公司</w:t>
      </w:r>
      <w:r>
        <w:rPr>
          <w:rFonts w:hint="eastAsia" w:hAnsi="宋体"/>
          <w:color w:val="auto"/>
          <w:sz w:val="21"/>
          <w:szCs w:val="21"/>
          <w:highlight w:val="none"/>
        </w:rPr>
        <w:t>将以书面形式予以答复。</w:t>
      </w:r>
    </w:p>
    <w:p w14:paraId="28C5D0DA">
      <w:pPr>
        <w:pStyle w:val="13"/>
        <w:adjustRightInd w:val="0"/>
        <w:snapToGrid w:val="0"/>
        <w:spacing w:line="480" w:lineRule="exact"/>
        <w:ind w:firstLine="420" w:firstLineChars="200"/>
        <w:rPr>
          <w:rFonts w:hAnsi="宋体"/>
          <w:color w:val="auto"/>
          <w:sz w:val="21"/>
          <w:szCs w:val="21"/>
          <w:highlight w:val="none"/>
        </w:rPr>
      </w:pPr>
      <w:r>
        <w:rPr>
          <w:rFonts w:hint="eastAsia" w:ascii="宋体" w:hAnsi="宋体" w:eastAsia="宋体" w:cs="Courier New"/>
          <w:color w:val="auto"/>
          <w:sz w:val="21"/>
          <w:szCs w:val="21"/>
          <w:highlight w:val="none"/>
          <w:lang w:val="zh-CN" w:eastAsia="zh-CN" w:bidi="zh-CN"/>
        </w:rPr>
        <w:t>4.3.3</w:t>
      </w:r>
      <w:r>
        <w:rPr>
          <w:rFonts w:hint="eastAsia" w:cs="Courier New"/>
          <w:color w:val="auto"/>
          <w:sz w:val="21"/>
          <w:szCs w:val="21"/>
          <w:highlight w:val="none"/>
          <w:lang w:val="zh-CN" w:eastAsia="zh-CN" w:bidi="zh-CN"/>
        </w:rPr>
        <w:t>本公司</w:t>
      </w:r>
      <w:r>
        <w:rPr>
          <w:rFonts w:hint="eastAsia" w:ascii="宋体" w:hAnsi="宋体" w:eastAsia="宋体" w:cs="Courier New"/>
          <w:color w:val="auto"/>
          <w:sz w:val="21"/>
          <w:szCs w:val="21"/>
          <w:highlight w:val="none"/>
          <w:lang w:val="zh-CN" w:eastAsia="zh-CN" w:bidi="zh-CN"/>
        </w:rPr>
        <w:t>对已发出的磋商文件进行必要澄清或者修改的，在竞争性磋商文件要求提交竞争性磋商响应文件截止时间五日前（不足五日顺延），</w:t>
      </w:r>
      <w:r>
        <w:rPr>
          <w:rFonts w:hint="eastAsia" w:ascii="宋体" w:hAnsi="宋体" w:eastAsia="宋体" w:cs="Courier New"/>
          <w:color w:val="auto"/>
          <w:sz w:val="21"/>
          <w:szCs w:val="21"/>
          <w:highlight w:val="none"/>
          <w:lang w:val="en-US" w:eastAsia="zh-CN" w:bidi="zh-CN"/>
        </w:rPr>
        <w:t>在中国采购与招标网</w:t>
      </w:r>
      <w:r>
        <w:rPr>
          <w:rFonts w:hint="eastAsia" w:ascii="宋体" w:hAnsi="宋体" w:eastAsia="宋体" w:cs="Courier New"/>
          <w:color w:val="auto"/>
          <w:sz w:val="21"/>
          <w:szCs w:val="21"/>
          <w:highlight w:val="none"/>
          <w:lang w:val="en-US" w:eastAsia="zh-CN" w:bidi="zh-CN"/>
        </w:rPr>
        <w:fldChar w:fldCharType="begin"/>
      </w:r>
      <w:r>
        <w:rPr>
          <w:rFonts w:hint="eastAsia" w:ascii="宋体" w:hAnsi="宋体" w:eastAsia="宋体" w:cs="Courier New"/>
          <w:color w:val="auto"/>
          <w:sz w:val="21"/>
          <w:szCs w:val="21"/>
          <w:highlight w:val="none"/>
          <w:lang w:val="en-US" w:eastAsia="zh-CN" w:bidi="zh-CN"/>
        </w:rPr>
        <w:instrText xml:space="preserve"> HYPERLINK "http://www.chinabidding.com.cn/" </w:instrText>
      </w:r>
      <w:r>
        <w:rPr>
          <w:rFonts w:hint="eastAsia" w:ascii="宋体" w:hAnsi="宋体" w:eastAsia="宋体" w:cs="Courier New"/>
          <w:color w:val="auto"/>
          <w:sz w:val="21"/>
          <w:szCs w:val="21"/>
          <w:highlight w:val="none"/>
          <w:lang w:val="en-US" w:eastAsia="zh-CN" w:bidi="zh-CN"/>
        </w:rPr>
        <w:fldChar w:fldCharType="separate"/>
      </w:r>
      <w:r>
        <w:rPr>
          <w:rFonts w:hint="eastAsia" w:ascii="宋体" w:hAnsi="宋体" w:eastAsia="宋体" w:cs="Courier New"/>
          <w:color w:val="auto"/>
          <w:sz w:val="21"/>
          <w:szCs w:val="21"/>
          <w:highlight w:val="none"/>
          <w:lang w:val="en-US" w:eastAsia="zh-CN" w:bidi="zh-CN"/>
        </w:rPr>
        <w:t>www.chinabidding.com.cn</w:t>
      </w:r>
      <w:r>
        <w:rPr>
          <w:rFonts w:hint="eastAsia" w:ascii="宋体" w:hAnsi="宋体" w:eastAsia="宋体" w:cs="Courier New"/>
          <w:color w:val="auto"/>
          <w:sz w:val="21"/>
          <w:szCs w:val="21"/>
          <w:highlight w:val="none"/>
          <w:lang w:val="en-US" w:eastAsia="zh-CN" w:bidi="zh-CN"/>
        </w:rPr>
        <w:fldChar w:fldCharType="end"/>
      </w:r>
      <w:r>
        <w:rPr>
          <w:rFonts w:hint="eastAsia" w:ascii="宋体" w:hAnsi="宋体" w:eastAsia="宋体" w:cs="Courier New"/>
          <w:color w:val="auto"/>
          <w:sz w:val="21"/>
          <w:szCs w:val="21"/>
          <w:highlight w:val="none"/>
          <w:lang w:val="en-US" w:eastAsia="zh-CN" w:bidi="zh-CN"/>
        </w:rPr>
        <w:t>、</w:t>
      </w:r>
      <w:r>
        <w:rPr>
          <w:rFonts w:hint="eastAsia" w:ascii="宋体" w:hAnsi="宋体" w:eastAsia="宋体" w:cs="宋体"/>
          <w:b w:val="0"/>
          <w:bCs w:val="0"/>
          <w:color w:val="auto"/>
          <w:kern w:val="2"/>
          <w:sz w:val="21"/>
          <w:szCs w:val="21"/>
          <w:lang w:val="en-US" w:eastAsia="zh-CN"/>
        </w:rPr>
        <w:t>广西瑞真工程造价咨询有限责任公司http://www.gxruizhen.com/</w:t>
      </w:r>
      <w:r>
        <w:rPr>
          <w:rFonts w:hint="eastAsia" w:hAnsi="宋体"/>
          <w:color w:val="auto"/>
          <w:sz w:val="21"/>
          <w:szCs w:val="21"/>
          <w:highlight w:val="none"/>
        </w:rPr>
        <w:t>上发布更正公告，并以书面形式通知所有竞争性磋商文件收受人。该澄清或者修改的内容为竞争性磋商文件的组成部分。</w:t>
      </w:r>
    </w:p>
    <w:p w14:paraId="49E98732">
      <w:pPr>
        <w:adjustRightInd w:val="0"/>
        <w:snapToGrid w:val="0"/>
        <w:spacing w:line="480" w:lineRule="exact"/>
        <w:ind w:firstLine="420" w:firstLineChars="200"/>
        <w:rPr>
          <w:color w:val="auto"/>
          <w:sz w:val="21"/>
          <w:szCs w:val="21"/>
          <w:highlight w:val="none"/>
        </w:rPr>
      </w:pPr>
      <w:r>
        <w:rPr>
          <w:rFonts w:hint="eastAsia"/>
          <w:color w:val="auto"/>
          <w:sz w:val="21"/>
          <w:szCs w:val="21"/>
          <w:highlight w:val="none"/>
        </w:rPr>
        <w:t>4.3.4</w:t>
      </w:r>
      <w:r>
        <w:rPr>
          <w:rFonts w:hint="eastAsia"/>
          <w:color w:val="auto"/>
          <w:sz w:val="21"/>
          <w:szCs w:val="21"/>
          <w:highlight w:val="none"/>
          <w:lang w:eastAsia="zh-CN"/>
        </w:rPr>
        <w:t>本公司</w:t>
      </w:r>
      <w:r>
        <w:rPr>
          <w:rFonts w:hint="eastAsia"/>
          <w:color w:val="auto"/>
          <w:sz w:val="21"/>
          <w:szCs w:val="21"/>
          <w:highlight w:val="none"/>
        </w:rPr>
        <w:t>可视具体情况，延长响应文件递交截止时间和开标时间。</w:t>
      </w:r>
      <w:r>
        <w:rPr>
          <w:rFonts w:hint="eastAsia"/>
          <w:color w:val="auto"/>
          <w:sz w:val="21"/>
          <w:szCs w:val="21"/>
          <w:highlight w:val="none"/>
          <w:lang w:eastAsia="zh-CN"/>
        </w:rPr>
        <w:t>本公司</w:t>
      </w:r>
      <w:r>
        <w:rPr>
          <w:rFonts w:hint="eastAsia"/>
          <w:color w:val="auto"/>
          <w:sz w:val="21"/>
          <w:szCs w:val="21"/>
          <w:highlight w:val="none"/>
        </w:rPr>
        <w:t>至少在竞争性磋商文件要求提交竞争性磋商响应文件的截止时间一日前，将变更时间书面通知所有竞争性磋商文件收受人，并</w:t>
      </w:r>
      <w:r>
        <w:rPr>
          <w:rFonts w:hint="eastAsia" w:ascii="宋体" w:hAnsi="宋体" w:eastAsia="宋体" w:cs="Courier New"/>
          <w:color w:val="auto"/>
          <w:sz w:val="21"/>
          <w:szCs w:val="21"/>
          <w:highlight w:val="none"/>
          <w:lang w:val="en-US" w:eastAsia="zh-CN" w:bidi="zh-CN"/>
        </w:rPr>
        <w:t>在中国采购与招标网</w:t>
      </w:r>
      <w:r>
        <w:rPr>
          <w:rFonts w:hint="eastAsia" w:ascii="宋体" w:hAnsi="宋体" w:eastAsia="宋体" w:cs="Courier New"/>
          <w:color w:val="auto"/>
          <w:sz w:val="21"/>
          <w:szCs w:val="21"/>
          <w:highlight w:val="none"/>
          <w:lang w:val="en-US" w:eastAsia="zh-CN" w:bidi="zh-CN"/>
        </w:rPr>
        <w:fldChar w:fldCharType="begin"/>
      </w:r>
      <w:r>
        <w:rPr>
          <w:rFonts w:hint="eastAsia" w:ascii="宋体" w:hAnsi="宋体" w:eastAsia="宋体" w:cs="Courier New"/>
          <w:color w:val="auto"/>
          <w:sz w:val="21"/>
          <w:szCs w:val="21"/>
          <w:highlight w:val="none"/>
          <w:lang w:val="en-US" w:eastAsia="zh-CN" w:bidi="zh-CN"/>
        </w:rPr>
        <w:instrText xml:space="preserve"> HYPERLINK "http://www.chinabidding.com.cn/" </w:instrText>
      </w:r>
      <w:r>
        <w:rPr>
          <w:rFonts w:hint="eastAsia" w:ascii="宋体" w:hAnsi="宋体" w:eastAsia="宋体" w:cs="Courier New"/>
          <w:color w:val="auto"/>
          <w:sz w:val="21"/>
          <w:szCs w:val="21"/>
          <w:highlight w:val="none"/>
          <w:lang w:val="en-US" w:eastAsia="zh-CN" w:bidi="zh-CN"/>
        </w:rPr>
        <w:fldChar w:fldCharType="separate"/>
      </w:r>
      <w:r>
        <w:rPr>
          <w:rFonts w:hint="eastAsia" w:ascii="宋体" w:hAnsi="宋体" w:eastAsia="宋体" w:cs="Courier New"/>
          <w:color w:val="auto"/>
          <w:sz w:val="21"/>
          <w:szCs w:val="21"/>
          <w:highlight w:val="none"/>
          <w:lang w:val="en-US" w:eastAsia="zh-CN" w:bidi="zh-CN"/>
        </w:rPr>
        <w:t>www.chinabidding.com.cn</w:t>
      </w:r>
      <w:r>
        <w:rPr>
          <w:rFonts w:hint="eastAsia" w:ascii="宋体" w:hAnsi="宋体" w:eastAsia="宋体" w:cs="Courier New"/>
          <w:color w:val="auto"/>
          <w:sz w:val="21"/>
          <w:szCs w:val="21"/>
          <w:highlight w:val="none"/>
          <w:lang w:val="en-US" w:eastAsia="zh-CN" w:bidi="zh-CN"/>
        </w:rPr>
        <w:fldChar w:fldCharType="end"/>
      </w:r>
      <w:r>
        <w:rPr>
          <w:rFonts w:hint="eastAsia" w:ascii="宋体" w:hAnsi="宋体" w:eastAsia="宋体" w:cs="Courier New"/>
          <w:color w:val="auto"/>
          <w:sz w:val="21"/>
          <w:szCs w:val="21"/>
          <w:highlight w:val="none"/>
          <w:lang w:val="en-US" w:eastAsia="zh-CN" w:bidi="zh-CN"/>
        </w:rPr>
        <w:t>、</w:t>
      </w:r>
      <w:r>
        <w:rPr>
          <w:rFonts w:hint="eastAsia" w:ascii="宋体" w:hAnsi="宋体" w:eastAsia="宋体" w:cs="宋体"/>
          <w:b w:val="0"/>
          <w:bCs w:val="0"/>
          <w:color w:val="auto"/>
          <w:kern w:val="2"/>
          <w:sz w:val="21"/>
          <w:szCs w:val="21"/>
          <w:lang w:val="en-US" w:eastAsia="zh-CN"/>
        </w:rPr>
        <w:t>广西瑞真工程造价咨询有限责任公司http://www.gxruizhen.com/。</w:t>
      </w:r>
      <w:r>
        <w:rPr>
          <w:rFonts w:hint="eastAsia"/>
          <w:color w:val="auto"/>
          <w:sz w:val="21"/>
          <w:szCs w:val="21"/>
          <w:highlight w:val="none"/>
        </w:rPr>
        <w:t>上发布变更公告。</w:t>
      </w:r>
    </w:p>
    <w:p w14:paraId="19ECDED2">
      <w:pPr>
        <w:adjustRightInd w:val="0"/>
        <w:snapToGrid w:val="0"/>
        <w:spacing w:line="360" w:lineRule="auto"/>
        <w:ind w:firstLine="442" w:firstLineChars="200"/>
        <w:rPr>
          <w:b/>
          <w:color w:val="auto"/>
          <w:szCs w:val="21"/>
          <w:highlight w:val="none"/>
        </w:rPr>
      </w:pPr>
      <w:r>
        <w:rPr>
          <w:rFonts w:hint="eastAsia"/>
          <w:b/>
          <w:color w:val="auto"/>
          <w:szCs w:val="21"/>
          <w:highlight w:val="none"/>
        </w:rPr>
        <w:t>二、竞争性磋商响应文件的编制</w:t>
      </w:r>
    </w:p>
    <w:p w14:paraId="0785F1DA">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 竞争性磋商响应文件编制基本要求</w:t>
      </w:r>
    </w:p>
    <w:p w14:paraId="07B7A583">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5.1供应商对竞争性磋商响应文件的编制应按要求装订和封装。</w:t>
      </w:r>
    </w:p>
    <w:p w14:paraId="2E293B24">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5.2供应商提交的竞争性磋商响应文件以及供应商与</w:t>
      </w:r>
      <w:r>
        <w:rPr>
          <w:rFonts w:hint="eastAsia"/>
          <w:color w:val="auto"/>
          <w:sz w:val="21"/>
          <w:szCs w:val="21"/>
          <w:highlight w:val="none"/>
          <w:lang w:eastAsia="zh-CN"/>
        </w:rPr>
        <w:t>本公司</w:t>
      </w:r>
      <w:r>
        <w:rPr>
          <w:rFonts w:hint="eastAsia"/>
          <w:color w:val="auto"/>
          <w:sz w:val="21"/>
          <w:szCs w:val="21"/>
          <w:highlight w:val="none"/>
        </w:rPr>
        <w:t>和采购人就有关磋商的所有来往函电均应使用中文。供应商提交的支持文件和印刷的文献可以使用别的语言，但其相应内容必须附有中文翻译文本，在解释竞争性磋商响应文件时以中文翻译文本为主。</w:t>
      </w:r>
    </w:p>
    <w:p w14:paraId="507B7F16">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5.3供应商应认真阅读、并充分理解本文件的全部内容（包括所有的澄清、更改、补充、答疑等内容），承诺并履行本文件中各项条款规定及要求。</w:t>
      </w:r>
    </w:p>
    <w:p w14:paraId="43916496">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5.4竞争性磋商响应文件必须按本文件的全部内容，包括所有的澄清、更改、补充、答疑等内容及附件进行编制。</w:t>
      </w:r>
    </w:p>
    <w:p w14:paraId="4B1D7537">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5.5如因供应商只填写和提供了本文件要求的部分内容和附件，而给磋商小组评审造成困难，其可能导致的结果和责任由供应商自行承担。</w:t>
      </w:r>
    </w:p>
    <w:p w14:paraId="2E81954B">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5.6竞争性磋商响应文件的组成</w:t>
      </w:r>
      <w:r>
        <w:rPr>
          <w:rFonts w:hint="eastAsia"/>
          <w:color w:val="auto"/>
          <w:sz w:val="21"/>
          <w:szCs w:val="21"/>
          <w:highlight w:val="none"/>
          <w:lang w:eastAsia="zh-CN"/>
        </w:rPr>
        <w:t>：</w:t>
      </w:r>
      <w:r>
        <w:rPr>
          <w:rFonts w:hint="eastAsia"/>
          <w:color w:val="auto"/>
          <w:sz w:val="21"/>
          <w:szCs w:val="21"/>
          <w:highlight w:val="none"/>
        </w:rPr>
        <w:t>竞争性磋商响应文件应分为价格文件和商务技术文件两个部分组成</w:t>
      </w:r>
      <w:r>
        <w:rPr>
          <w:rFonts w:hint="eastAsia" w:cs="Arial"/>
          <w:color w:val="auto"/>
          <w:sz w:val="21"/>
          <w:szCs w:val="21"/>
          <w:highlight w:val="none"/>
        </w:rPr>
        <w:t>（要求装订成一本）</w:t>
      </w:r>
      <w:r>
        <w:rPr>
          <w:rFonts w:hint="eastAsia"/>
          <w:color w:val="auto"/>
          <w:sz w:val="21"/>
          <w:szCs w:val="21"/>
          <w:highlight w:val="none"/>
        </w:rPr>
        <w:t>。</w:t>
      </w:r>
    </w:p>
    <w:p w14:paraId="350F16D1">
      <w:pPr>
        <w:adjustRightInd w:val="0"/>
        <w:snapToGrid w:val="0"/>
        <w:spacing w:line="360" w:lineRule="auto"/>
        <w:ind w:firstLine="442" w:firstLineChars="200"/>
        <w:rPr>
          <w:b/>
          <w:color w:val="auto"/>
          <w:szCs w:val="21"/>
          <w:highlight w:val="none"/>
        </w:rPr>
      </w:pPr>
      <w:r>
        <w:rPr>
          <w:rFonts w:hint="eastAsia"/>
          <w:b/>
          <w:color w:val="auto"/>
          <w:szCs w:val="21"/>
          <w:highlight w:val="none"/>
        </w:rPr>
        <w:t>5.6.1价格文件</w:t>
      </w:r>
    </w:p>
    <w:p w14:paraId="3FFDF460">
      <w:pPr>
        <w:adjustRightInd w:val="0"/>
        <w:snapToGrid w:val="0"/>
        <w:spacing w:line="360" w:lineRule="auto"/>
        <w:ind w:firstLine="420" w:firstLineChars="200"/>
        <w:rPr>
          <w:b/>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报价表（附件2）</w:t>
      </w:r>
      <w:r>
        <w:rPr>
          <w:rFonts w:hint="eastAsia"/>
          <w:b/>
          <w:color w:val="auto"/>
          <w:sz w:val="21"/>
          <w:szCs w:val="21"/>
          <w:highlight w:val="none"/>
        </w:rPr>
        <w:t>[必须提供]。</w:t>
      </w:r>
    </w:p>
    <w:p w14:paraId="494A2CCB">
      <w:pPr>
        <w:adjustRightInd w:val="0"/>
        <w:snapToGrid w:val="0"/>
        <w:spacing w:line="360" w:lineRule="auto"/>
        <w:ind w:firstLine="442" w:firstLineChars="200"/>
        <w:rPr>
          <w:color w:val="auto"/>
          <w:szCs w:val="21"/>
          <w:highlight w:val="none"/>
        </w:rPr>
      </w:pPr>
      <w:r>
        <w:rPr>
          <w:rFonts w:hint="eastAsia"/>
          <w:b/>
          <w:color w:val="auto"/>
          <w:szCs w:val="21"/>
          <w:highlight w:val="none"/>
        </w:rPr>
        <w:t>5.6.2商务技术文件</w:t>
      </w:r>
      <w:r>
        <w:rPr>
          <w:rFonts w:hint="eastAsia"/>
          <w:color w:val="auto"/>
          <w:szCs w:val="21"/>
          <w:highlight w:val="none"/>
        </w:rPr>
        <w:t>（应该有的必须提供,如未提供,磋商小组有权拒绝其磋商响应文件）。</w:t>
      </w:r>
    </w:p>
    <w:p w14:paraId="26F94851">
      <w:pPr>
        <w:adjustRightInd w:val="0"/>
        <w:snapToGrid w:val="0"/>
        <w:spacing w:line="360" w:lineRule="auto"/>
        <w:ind w:left="0" w:leftChars="0" w:firstLine="438" w:firstLineChars="209"/>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磋商书；（附件1）</w:t>
      </w:r>
      <w:r>
        <w:rPr>
          <w:rFonts w:hint="eastAsia"/>
          <w:b/>
          <w:color w:val="auto"/>
          <w:sz w:val="21"/>
          <w:szCs w:val="21"/>
          <w:highlight w:val="none"/>
        </w:rPr>
        <w:t>[必须提供]。</w:t>
      </w:r>
    </w:p>
    <w:p w14:paraId="03482E98">
      <w:pPr>
        <w:adjustRightInd w:val="0"/>
        <w:snapToGrid w:val="0"/>
        <w:spacing w:line="360" w:lineRule="auto"/>
        <w:ind w:left="0" w:leftChars="0" w:firstLine="438" w:firstLineChars="209"/>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法定代表人授权委托书和委托代理人身份证复印件</w:t>
      </w:r>
      <w:r>
        <w:rPr>
          <w:rFonts w:hint="eastAsia"/>
          <w:b/>
          <w:bCs/>
          <w:color w:val="auto"/>
          <w:sz w:val="21"/>
          <w:szCs w:val="21"/>
          <w:highlight w:val="none"/>
        </w:rPr>
        <w:t>（委托代理时必须提供）</w:t>
      </w:r>
      <w:r>
        <w:rPr>
          <w:rFonts w:hint="eastAsia"/>
          <w:color w:val="auto"/>
          <w:sz w:val="21"/>
          <w:szCs w:val="21"/>
          <w:highlight w:val="none"/>
        </w:rPr>
        <w:t>，法定代表人参加磋商时，提供法定代表人身份证明书和身份证复印件（附件3）</w:t>
      </w:r>
      <w:r>
        <w:rPr>
          <w:rFonts w:hint="eastAsia"/>
          <w:b/>
          <w:bCs/>
          <w:color w:val="auto"/>
          <w:sz w:val="21"/>
          <w:szCs w:val="21"/>
          <w:highlight w:val="none"/>
        </w:rPr>
        <w:t>（必须提供）</w:t>
      </w:r>
      <w:r>
        <w:rPr>
          <w:rFonts w:hint="eastAsia"/>
          <w:color w:val="auto"/>
          <w:sz w:val="21"/>
          <w:szCs w:val="21"/>
          <w:highlight w:val="none"/>
        </w:rPr>
        <w:t>。</w:t>
      </w:r>
    </w:p>
    <w:p w14:paraId="4442B3DF">
      <w:pPr>
        <w:snapToGrid w:val="0"/>
        <w:spacing w:line="360" w:lineRule="auto"/>
        <w:ind w:left="0" w:leftChars="0" w:firstLine="438" w:firstLineChars="209"/>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3</w:t>
      </w:r>
      <w:r>
        <w:rPr>
          <w:rFonts w:hint="eastAsia"/>
          <w:color w:val="auto"/>
          <w:sz w:val="21"/>
          <w:szCs w:val="21"/>
          <w:highlight w:val="none"/>
        </w:rPr>
        <w:t>）有效的营业执照或组织机构代码证等证明文件复印件</w:t>
      </w:r>
      <w:r>
        <w:rPr>
          <w:rFonts w:hint="eastAsia"/>
          <w:b/>
          <w:bCs/>
          <w:color w:val="auto"/>
          <w:sz w:val="21"/>
          <w:szCs w:val="21"/>
          <w:highlight w:val="none"/>
        </w:rPr>
        <w:t>（原件备查，必须提供）</w:t>
      </w:r>
      <w:r>
        <w:rPr>
          <w:rFonts w:hint="eastAsia"/>
          <w:color w:val="auto"/>
          <w:sz w:val="21"/>
          <w:szCs w:val="21"/>
          <w:highlight w:val="none"/>
        </w:rPr>
        <w:t>；</w:t>
      </w:r>
    </w:p>
    <w:p w14:paraId="706F1044">
      <w:pPr>
        <w:snapToGrid w:val="0"/>
        <w:spacing w:line="360" w:lineRule="auto"/>
        <w:ind w:left="0" w:leftChars="0" w:firstLine="438" w:firstLineChars="209"/>
        <w:rPr>
          <w:b/>
          <w:color w:val="auto"/>
          <w:sz w:val="21"/>
          <w:szCs w:val="21"/>
          <w:highlight w:val="none"/>
        </w:rPr>
      </w:pPr>
      <w:r>
        <w:rPr>
          <w:rFonts w:hint="eastAsia"/>
          <w:color w:val="auto"/>
          <w:sz w:val="21"/>
          <w:szCs w:val="21"/>
          <w:highlight w:val="none"/>
          <w:lang w:val="en-US"/>
        </w:rPr>
        <w:t>（</w:t>
      </w:r>
      <w:r>
        <w:rPr>
          <w:rFonts w:hint="eastAsia"/>
          <w:color w:val="auto"/>
          <w:sz w:val="21"/>
          <w:szCs w:val="21"/>
          <w:highlight w:val="none"/>
          <w:lang w:val="en-US" w:eastAsia="zh-CN"/>
        </w:rPr>
        <w:t>4</w:t>
      </w:r>
      <w:r>
        <w:rPr>
          <w:rFonts w:hint="eastAsia"/>
          <w:color w:val="auto"/>
          <w:sz w:val="21"/>
          <w:szCs w:val="21"/>
          <w:highlight w:val="none"/>
          <w:lang w:val="en-US"/>
        </w:rPr>
        <w:t>）</w:t>
      </w:r>
      <w:r>
        <w:rPr>
          <w:rFonts w:hint="eastAsia"/>
          <w:color w:val="auto"/>
          <w:sz w:val="21"/>
          <w:szCs w:val="21"/>
          <w:highlight w:val="none"/>
        </w:rPr>
        <w:t>供应商202</w:t>
      </w:r>
      <w:r>
        <w:rPr>
          <w:rFonts w:hint="eastAsia"/>
          <w:color w:val="auto"/>
          <w:sz w:val="21"/>
          <w:szCs w:val="21"/>
          <w:highlight w:val="none"/>
          <w:lang w:val="en-US" w:eastAsia="zh-CN"/>
        </w:rPr>
        <w:t>5</w:t>
      </w:r>
      <w:r>
        <w:rPr>
          <w:rFonts w:hint="eastAsia"/>
          <w:color w:val="auto"/>
          <w:sz w:val="21"/>
          <w:szCs w:val="21"/>
          <w:highlight w:val="none"/>
        </w:rPr>
        <w:t>年</w:t>
      </w:r>
      <w:r>
        <w:rPr>
          <w:rFonts w:hint="eastAsia"/>
          <w:color w:val="auto"/>
          <w:sz w:val="21"/>
          <w:szCs w:val="21"/>
          <w:highlight w:val="none"/>
          <w:lang w:val="en-US" w:eastAsia="zh-CN"/>
        </w:rPr>
        <w:t>1</w:t>
      </w:r>
      <w:r>
        <w:rPr>
          <w:rFonts w:hint="eastAsia"/>
          <w:color w:val="auto"/>
          <w:sz w:val="21"/>
          <w:szCs w:val="21"/>
          <w:highlight w:val="none"/>
        </w:rPr>
        <w:t>月以来至少一个月的依法纳税的依法缴纳税费或依法免缴税费的证明</w:t>
      </w:r>
      <w:r>
        <w:rPr>
          <w:rFonts w:hint="eastAsia"/>
          <w:b/>
          <w:color w:val="auto"/>
          <w:sz w:val="21"/>
          <w:szCs w:val="21"/>
          <w:highlight w:val="none"/>
        </w:rPr>
        <w:t>（复印件，原件备查，格式自拟，必须提供），</w:t>
      </w:r>
      <w:r>
        <w:rPr>
          <w:rFonts w:hint="eastAsia"/>
          <w:color w:val="auto"/>
          <w:sz w:val="21"/>
          <w:szCs w:val="21"/>
          <w:highlight w:val="none"/>
        </w:rPr>
        <w:t>无纳税记录的，应提供由</w:t>
      </w:r>
      <w:r>
        <w:rPr>
          <w:rFonts w:hint="eastAsia"/>
          <w:color w:val="auto"/>
          <w:sz w:val="21"/>
          <w:szCs w:val="21"/>
          <w:highlight w:val="none"/>
          <w:lang w:val="en-US"/>
        </w:rPr>
        <w:t>磋商</w:t>
      </w:r>
      <w:r>
        <w:rPr>
          <w:rFonts w:hint="eastAsia"/>
          <w:color w:val="auto"/>
          <w:sz w:val="21"/>
          <w:szCs w:val="21"/>
          <w:highlight w:val="none"/>
        </w:rPr>
        <w:t>供应商所在地主管国税、地税部门出具的《依法纳税或依法免税证明》</w:t>
      </w:r>
      <w:r>
        <w:rPr>
          <w:rFonts w:hint="eastAsia"/>
          <w:b/>
          <w:color w:val="auto"/>
          <w:sz w:val="21"/>
          <w:szCs w:val="21"/>
          <w:highlight w:val="none"/>
        </w:rPr>
        <w:t>（格式自拟，复印件，原件备查）；</w:t>
      </w:r>
    </w:p>
    <w:p w14:paraId="2127560E">
      <w:pPr>
        <w:snapToGrid w:val="0"/>
        <w:spacing w:line="360" w:lineRule="auto"/>
        <w:ind w:left="0" w:leftChars="0" w:firstLine="438" w:firstLineChars="209"/>
        <w:rPr>
          <w:color w:val="auto"/>
          <w:sz w:val="21"/>
          <w:szCs w:val="21"/>
          <w:highlight w:val="none"/>
        </w:rPr>
      </w:pPr>
      <w:r>
        <w:rPr>
          <w:rFonts w:hint="eastAsia" w:ascii="宋体" w:hAnsi="宋体" w:eastAsia="宋体" w:cs="宋体"/>
          <w:bCs w:val="0"/>
          <w:color w:val="auto"/>
          <w:sz w:val="21"/>
          <w:szCs w:val="21"/>
          <w:highlight w:val="none"/>
          <w:lang w:val="en-US" w:eastAsia="zh-CN"/>
        </w:rPr>
        <w:t>（5）</w:t>
      </w:r>
      <w:r>
        <w:rPr>
          <w:rFonts w:hint="eastAsia"/>
          <w:color w:val="auto"/>
          <w:sz w:val="21"/>
          <w:szCs w:val="21"/>
          <w:highlight w:val="none"/>
        </w:rPr>
        <w:t>供应商202</w:t>
      </w:r>
      <w:r>
        <w:rPr>
          <w:rFonts w:hint="eastAsia"/>
          <w:color w:val="auto"/>
          <w:sz w:val="21"/>
          <w:szCs w:val="21"/>
          <w:highlight w:val="none"/>
          <w:lang w:val="en-US" w:eastAsia="zh-CN"/>
        </w:rPr>
        <w:t>5</w:t>
      </w:r>
      <w:r>
        <w:rPr>
          <w:rFonts w:hint="eastAsia"/>
          <w:color w:val="auto"/>
          <w:sz w:val="21"/>
          <w:szCs w:val="21"/>
          <w:highlight w:val="none"/>
        </w:rPr>
        <w:t>年</w:t>
      </w:r>
      <w:r>
        <w:rPr>
          <w:rFonts w:hint="eastAsia"/>
          <w:color w:val="auto"/>
          <w:sz w:val="21"/>
          <w:szCs w:val="21"/>
          <w:highlight w:val="none"/>
          <w:lang w:val="en-US" w:eastAsia="zh-CN"/>
        </w:rPr>
        <w:t>1</w:t>
      </w:r>
      <w:r>
        <w:rPr>
          <w:rFonts w:hint="eastAsia"/>
          <w:color w:val="auto"/>
          <w:sz w:val="21"/>
          <w:szCs w:val="21"/>
          <w:highlight w:val="none"/>
        </w:rPr>
        <w:t>月以来至少一个月的依法缴纳社保费的缴费凭证（</w:t>
      </w:r>
      <w:r>
        <w:rPr>
          <w:rFonts w:hint="eastAsia"/>
          <w:b/>
          <w:color w:val="auto"/>
          <w:sz w:val="21"/>
          <w:szCs w:val="21"/>
          <w:highlight w:val="none"/>
        </w:rPr>
        <w:t>复印件，格式自拟）（必须提供），</w:t>
      </w:r>
      <w:r>
        <w:rPr>
          <w:rFonts w:hint="eastAsia"/>
          <w:color w:val="auto"/>
          <w:sz w:val="21"/>
          <w:szCs w:val="21"/>
          <w:highlight w:val="none"/>
        </w:rPr>
        <w:t>无缴费记录的，应提供由</w:t>
      </w:r>
      <w:r>
        <w:rPr>
          <w:rFonts w:hint="eastAsia"/>
          <w:color w:val="auto"/>
          <w:sz w:val="21"/>
          <w:szCs w:val="21"/>
          <w:highlight w:val="none"/>
          <w:lang w:val="en-US"/>
        </w:rPr>
        <w:t>磋商</w:t>
      </w:r>
      <w:r>
        <w:rPr>
          <w:rFonts w:hint="eastAsia"/>
          <w:color w:val="auto"/>
          <w:sz w:val="21"/>
          <w:szCs w:val="21"/>
          <w:highlight w:val="none"/>
        </w:rPr>
        <w:t>供应商所在地社保部门出具的《依法缴纳或依法免缴社保费证明》</w:t>
      </w:r>
      <w:r>
        <w:rPr>
          <w:rFonts w:hint="eastAsia"/>
          <w:b/>
          <w:color w:val="auto"/>
          <w:sz w:val="21"/>
          <w:szCs w:val="21"/>
          <w:highlight w:val="none"/>
        </w:rPr>
        <w:t>（格式自拟，复印件）；</w:t>
      </w:r>
    </w:p>
    <w:p w14:paraId="00C82274">
      <w:pPr>
        <w:snapToGrid w:val="0"/>
        <w:spacing w:line="360" w:lineRule="auto"/>
        <w:ind w:left="0" w:leftChars="0" w:firstLine="438" w:firstLineChars="209"/>
        <w:rPr>
          <w:rFonts w:hint="eastAsia"/>
          <w:b/>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6</w:t>
      </w:r>
      <w:r>
        <w:rPr>
          <w:rFonts w:hint="eastAsia"/>
          <w:color w:val="auto"/>
          <w:sz w:val="21"/>
          <w:szCs w:val="21"/>
          <w:highlight w:val="none"/>
        </w:rPr>
        <w:t>）</w:t>
      </w:r>
      <w:r>
        <w:rPr>
          <w:color w:val="auto"/>
          <w:sz w:val="21"/>
          <w:szCs w:val="21"/>
          <w:highlight w:val="none"/>
        </w:rPr>
        <w:t>参加政府采购活动前</w:t>
      </w:r>
      <w:r>
        <w:rPr>
          <w:rFonts w:hint="eastAsia"/>
          <w:color w:val="auto"/>
          <w:sz w:val="21"/>
          <w:szCs w:val="21"/>
          <w:highlight w:val="none"/>
        </w:rPr>
        <w:t>三</w:t>
      </w:r>
      <w:r>
        <w:rPr>
          <w:color w:val="auto"/>
          <w:sz w:val="21"/>
          <w:szCs w:val="21"/>
          <w:highlight w:val="none"/>
        </w:rPr>
        <w:t>年内在经营活动中没有重大违法记录的书面声明</w:t>
      </w:r>
      <w:r>
        <w:rPr>
          <w:rFonts w:hint="eastAsia" w:ascii="Arial" w:hAnsi="Arial" w:cs="Arial"/>
          <w:color w:val="auto"/>
          <w:sz w:val="21"/>
          <w:szCs w:val="21"/>
          <w:highlight w:val="none"/>
        </w:rPr>
        <w:t>（</w:t>
      </w:r>
      <w:r>
        <w:rPr>
          <w:rFonts w:hint="eastAsia"/>
          <w:color w:val="auto"/>
          <w:sz w:val="21"/>
          <w:szCs w:val="21"/>
          <w:highlight w:val="none"/>
        </w:rPr>
        <w:t>附件4</w:t>
      </w:r>
      <w:r>
        <w:rPr>
          <w:rFonts w:hint="eastAsia"/>
          <w:b/>
          <w:color w:val="auto"/>
          <w:sz w:val="21"/>
          <w:szCs w:val="21"/>
          <w:highlight w:val="none"/>
        </w:rPr>
        <w:t>，必须提供）；</w:t>
      </w:r>
    </w:p>
    <w:p w14:paraId="42404368">
      <w:pPr>
        <w:snapToGrid w:val="0"/>
        <w:spacing w:line="360" w:lineRule="auto"/>
        <w:ind w:left="0" w:firstLine="438" w:firstLineChars="209"/>
        <w:rPr>
          <w:rFonts w:hint="eastAsia"/>
          <w:color w:val="auto"/>
          <w:sz w:val="21"/>
          <w:szCs w:val="21"/>
          <w:highlight w:val="none"/>
        </w:rPr>
      </w:pPr>
      <w:r>
        <w:rPr>
          <w:rFonts w:hint="eastAsia"/>
          <w:color w:val="auto"/>
          <w:spacing w:val="0"/>
          <w:sz w:val="21"/>
          <w:szCs w:val="21"/>
          <w:highlight w:val="none"/>
        </w:rPr>
        <w:t>（</w:t>
      </w:r>
      <w:r>
        <w:rPr>
          <w:rFonts w:hint="eastAsia"/>
          <w:color w:val="auto"/>
          <w:spacing w:val="0"/>
          <w:sz w:val="21"/>
          <w:szCs w:val="21"/>
          <w:highlight w:val="none"/>
          <w:lang w:val="en-US" w:eastAsia="zh-CN"/>
        </w:rPr>
        <w:t>7</w:t>
      </w:r>
      <w:r>
        <w:rPr>
          <w:rFonts w:hint="eastAsia"/>
          <w:color w:val="auto"/>
          <w:spacing w:val="0"/>
          <w:sz w:val="21"/>
          <w:szCs w:val="21"/>
          <w:highlight w:val="none"/>
        </w:rPr>
        <w:t>）</w:t>
      </w:r>
      <w:r>
        <w:rPr>
          <w:rFonts w:hint="eastAsia"/>
          <w:b w:val="0"/>
          <w:bCs w:val="0"/>
          <w:color w:val="auto"/>
          <w:spacing w:val="0"/>
          <w:sz w:val="21"/>
          <w:szCs w:val="21"/>
          <w:highlight w:val="none"/>
        </w:rPr>
        <w:t>供应商直接控股股东信息表</w:t>
      </w:r>
      <w:r>
        <w:rPr>
          <w:rFonts w:hint="eastAsia" w:ascii="Arial" w:hAnsi="Arial" w:cs="Arial"/>
          <w:color w:val="auto"/>
          <w:sz w:val="21"/>
          <w:szCs w:val="21"/>
          <w:highlight w:val="none"/>
        </w:rPr>
        <w:t>（</w:t>
      </w:r>
      <w:r>
        <w:rPr>
          <w:rFonts w:hint="eastAsia"/>
          <w:color w:val="auto"/>
          <w:sz w:val="21"/>
          <w:szCs w:val="21"/>
          <w:highlight w:val="none"/>
        </w:rPr>
        <w:t>附件</w:t>
      </w:r>
      <w:r>
        <w:rPr>
          <w:rFonts w:hint="eastAsia"/>
          <w:color w:val="auto"/>
          <w:sz w:val="21"/>
          <w:szCs w:val="21"/>
          <w:highlight w:val="none"/>
          <w:lang w:val="en-US" w:eastAsia="zh-CN"/>
        </w:rPr>
        <w:t>5</w:t>
      </w:r>
      <w:r>
        <w:rPr>
          <w:rFonts w:hint="eastAsia"/>
          <w:b/>
          <w:color w:val="auto"/>
          <w:sz w:val="21"/>
          <w:szCs w:val="21"/>
          <w:highlight w:val="none"/>
        </w:rPr>
        <w:t>，必须提供）；</w:t>
      </w:r>
    </w:p>
    <w:p w14:paraId="52111908">
      <w:pPr>
        <w:snapToGrid w:val="0"/>
        <w:spacing w:line="360" w:lineRule="auto"/>
        <w:ind w:left="0" w:firstLine="438" w:firstLineChars="209"/>
        <w:rPr>
          <w:rFonts w:hint="eastAsia"/>
          <w:color w:val="auto"/>
          <w:sz w:val="21"/>
          <w:szCs w:val="21"/>
          <w:highlight w:val="none"/>
        </w:rPr>
      </w:pPr>
      <w:r>
        <w:rPr>
          <w:rFonts w:hint="eastAsia"/>
          <w:color w:val="auto"/>
          <w:spacing w:val="0"/>
          <w:sz w:val="21"/>
          <w:szCs w:val="21"/>
          <w:highlight w:val="none"/>
        </w:rPr>
        <w:t>（</w:t>
      </w:r>
      <w:r>
        <w:rPr>
          <w:rFonts w:hint="eastAsia"/>
          <w:color w:val="auto"/>
          <w:spacing w:val="0"/>
          <w:sz w:val="21"/>
          <w:szCs w:val="21"/>
          <w:highlight w:val="none"/>
          <w:lang w:val="en-US" w:eastAsia="zh-CN"/>
        </w:rPr>
        <w:t>8</w:t>
      </w:r>
      <w:r>
        <w:rPr>
          <w:rFonts w:hint="eastAsia"/>
          <w:color w:val="auto"/>
          <w:spacing w:val="0"/>
          <w:sz w:val="21"/>
          <w:szCs w:val="21"/>
          <w:highlight w:val="none"/>
        </w:rPr>
        <w:t>）</w:t>
      </w:r>
      <w:r>
        <w:rPr>
          <w:rFonts w:hint="eastAsia"/>
          <w:b w:val="0"/>
          <w:bCs w:val="0"/>
          <w:color w:val="auto"/>
          <w:spacing w:val="0"/>
          <w:sz w:val="21"/>
          <w:szCs w:val="21"/>
          <w:highlight w:val="none"/>
        </w:rPr>
        <w:t>供应商直接管理关系信息表</w:t>
      </w:r>
      <w:r>
        <w:rPr>
          <w:rFonts w:hint="eastAsia" w:ascii="Arial" w:hAnsi="Arial" w:cs="Arial"/>
          <w:color w:val="auto"/>
          <w:sz w:val="21"/>
          <w:szCs w:val="21"/>
          <w:highlight w:val="none"/>
        </w:rPr>
        <w:t>（</w:t>
      </w:r>
      <w:r>
        <w:rPr>
          <w:rFonts w:hint="eastAsia"/>
          <w:color w:val="auto"/>
          <w:sz w:val="21"/>
          <w:szCs w:val="21"/>
          <w:highlight w:val="none"/>
        </w:rPr>
        <w:t>附件</w:t>
      </w:r>
      <w:r>
        <w:rPr>
          <w:rFonts w:hint="eastAsia"/>
          <w:color w:val="auto"/>
          <w:sz w:val="21"/>
          <w:szCs w:val="21"/>
          <w:highlight w:val="none"/>
          <w:lang w:val="en-US" w:eastAsia="zh-CN"/>
        </w:rPr>
        <w:t>6</w:t>
      </w:r>
      <w:r>
        <w:rPr>
          <w:rFonts w:hint="eastAsia"/>
          <w:b/>
          <w:color w:val="auto"/>
          <w:sz w:val="21"/>
          <w:szCs w:val="21"/>
          <w:highlight w:val="none"/>
        </w:rPr>
        <w:t>，必须提供）；</w:t>
      </w:r>
    </w:p>
    <w:p w14:paraId="684CF2D8">
      <w:pPr>
        <w:snapToGrid w:val="0"/>
        <w:spacing w:line="360" w:lineRule="auto"/>
        <w:ind w:firstLine="438" w:firstLineChars="209"/>
        <w:rPr>
          <w:rFonts w:hint="eastAsia"/>
          <w:color w:val="auto"/>
          <w:sz w:val="21"/>
          <w:szCs w:val="21"/>
          <w:highlight w:val="none"/>
        </w:rPr>
      </w:pPr>
      <w:r>
        <w:rPr>
          <w:rFonts w:hint="eastAsia"/>
          <w:color w:val="auto"/>
          <w:spacing w:val="0"/>
          <w:sz w:val="21"/>
          <w:szCs w:val="21"/>
          <w:highlight w:val="none"/>
        </w:rPr>
        <w:t>（</w:t>
      </w:r>
      <w:r>
        <w:rPr>
          <w:rFonts w:hint="eastAsia"/>
          <w:color w:val="auto"/>
          <w:spacing w:val="0"/>
          <w:sz w:val="21"/>
          <w:szCs w:val="21"/>
          <w:highlight w:val="none"/>
          <w:lang w:val="en-US" w:eastAsia="zh-CN"/>
        </w:rPr>
        <w:t>9</w:t>
      </w:r>
      <w:r>
        <w:rPr>
          <w:rFonts w:hint="eastAsia"/>
          <w:color w:val="auto"/>
          <w:spacing w:val="0"/>
          <w:sz w:val="21"/>
          <w:szCs w:val="21"/>
          <w:highlight w:val="none"/>
        </w:rPr>
        <w:t>）</w:t>
      </w:r>
      <w:r>
        <w:rPr>
          <w:rFonts w:hint="eastAsia"/>
          <w:b w:val="0"/>
          <w:bCs w:val="0"/>
          <w:color w:val="auto"/>
          <w:spacing w:val="0"/>
          <w:sz w:val="21"/>
          <w:szCs w:val="21"/>
          <w:highlight w:val="none"/>
        </w:rPr>
        <w:t>无串通竞标行为的承诺函</w:t>
      </w:r>
      <w:r>
        <w:rPr>
          <w:rFonts w:hint="eastAsia" w:ascii="Arial" w:hAnsi="Arial" w:cs="Arial"/>
          <w:color w:val="auto"/>
          <w:sz w:val="21"/>
          <w:szCs w:val="21"/>
          <w:highlight w:val="none"/>
        </w:rPr>
        <w:t>（</w:t>
      </w:r>
      <w:r>
        <w:rPr>
          <w:rFonts w:hint="eastAsia"/>
          <w:color w:val="auto"/>
          <w:sz w:val="21"/>
          <w:szCs w:val="21"/>
          <w:highlight w:val="none"/>
        </w:rPr>
        <w:t>附件</w:t>
      </w:r>
      <w:r>
        <w:rPr>
          <w:rFonts w:hint="eastAsia"/>
          <w:color w:val="auto"/>
          <w:sz w:val="21"/>
          <w:szCs w:val="21"/>
          <w:highlight w:val="none"/>
          <w:lang w:val="en-US" w:eastAsia="zh-CN"/>
        </w:rPr>
        <w:t>7</w:t>
      </w:r>
      <w:r>
        <w:rPr>
          <w:rFonts w:hint="eastAsia"/>
          <w:b/>
          <w:color w:val="auto"/>
          <w:sz w:val="21"/>
          <w:szCs w:val="21"/>
          <w:highlight w:val="none"/>
        </w:rPr>
        <w:t>，必须提供）；</w:t>
      </w:r>
    </w:p>
    <w:p w14:paraId="30688EF0">
      <w:pPr>
        <w:spacing w:line="360" w:lineRule="auto"/>
        <w:ind w:left="0" w:leftChars="0" w:firstLine="438" w:firstLineChars="209"/>
        <w:rPr>
          <w:b/>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10</w:t>
      </w:r>
      <w:r>
        <w:rPr>
          <w:rFonts w:hint="eastAsia"/>
          <w:color w:val="auto"/>
          <w:sz w:val="21"/>
          <w:szCs w:val="21"/>
          <w:highlight w:val="none"/>
        </w:rPr>
        <w:t>）商务、服务（技术）响应、偏离情况说明表（附件</w:t>
      </w:r>
      <w:r>
        <w:rPr>
          <w:rFonts w:hint="eastAsia"/>
          <w:color w:val="auto"/>
          <w:sz w:val="21"/>
          <w:szCs w:val="21"/>
          <w:highlight w:val="none"/>
          <w:lang w:val="en-US" w:eastAsia="zh-CN"/>
        </w:rPr>
        <w:t>8</w:t>
      </w:r>
      <w:r>
        <w:rPr>
          <w:rFonts w:hint="eastAsia"/>
          <w:color w:val="auto"/>
          <w:sz w:val="21"/>
          <w:szCs w:val="21"/>
          <w:highlight w:val="none"/>
        </w:rPr>
        <w:t>）</w:t>
      </w:r>
      <w:r>
        <w:rPr>
          <w:rFonts w:hint="eastAsia"/>
          <w:b/>
          <w:color w:val="auto"/>
          <w:sz w:val="21"/>
          <w:szCs w:val="21"/>
          <w:highlight w:val="none"/>
        </w:rPr>
        <w:t>（必须提供）。</w:t>
      </w:r>
    </w:p>
    <w:p w14:paraId="055C4E8E">
      <w:pPr>
        <w:pStyle w:val="13"/>
        <w:adjustRightInd w:val="0"/>
        <w:snapToGrid w:val="0"/>
        <w:spacing w:line="360" w:lineRule="auto"/>
        <w:ind w:left="0" w:leftChars="0" w:firstLine="438" w:firstLineChars="209"/>
        <w:rPr>
          <w:rFonts w:hint="eastAsia" w:hAnsi="宋体"/>
          <w:b/>
          <w:color w:val="auto"/>
          <w:sz w:val="21"/>
          <w:szCs w:val="21"/>
          <w:highlight w:val="none"/>
        </w:rPr>
      </w:pPr>
      <w:r>
        <w:rPr>
          <w:rFonts w:hint="eastAsia" w:hAnsi="宋体"/>
          <w:bCs/>
          <w:color w:val="auto"/>
          <w:sz w:val="21"/>
          <w:szCs w:val="21"/>
          <w:highlight w:val="none"/>
        </w:rPr>
        <w:t>（</w:t>
      </w:r>
      <w:r>
        <w:rPr>
          <w:rFonts w:hint="eastAsia" w:hAnsi="宋体"/>
          <w:bCs/>
          <w:color w:val="auto"/>
          <w:sz w:val="21"/>
          <w:szCs w:val="21"/>
          <w:highlight w:val="none"/>
          <w:lang w:val="en-US" w:eastAsia="zh-CN"/>
        </w:rPr>
        <w:t>11</w:t>
      </w:r>
      <w:r>
        <w:rPr>
          <w:rFonts w:hint="eastAsia" w:hAnsi="宋体"/>
          <w:bCs/>
          <w:color w:val="auto"/>
          <w:sz w:val="21"/>
          <w:szCs w:val="21"/>
          <w:highlight w:val="none"/>
        </w:rPr>
        <w:t>）</w:t>
      </w:r>
      <w:r>
        <w:rPr>
          <w:rFonts w:hint="eastAsia" w:hAnsi="宋体"/>
          <w:b/>
          <w:color w:val="auto"/>
          <w:sz w:val="21"/>
          <w:szCs w:val="21"/>
          <w:highlight w:val="none"/>
        </w:rPr>
        <w:t>技术、服务方案（附件</w:t>
      </w:r>
      <w:r>
        <w:rPr>
          <w:rFonts w:hint="eastAsia" w:hAnsi="宋体"/>
          <w:b/>
          <w:color w:val="auto"/>
          <w:sz w:val="21"/>
          <w:szCs w:val="21"/>
          <w:highlight w:val="none"/>
          <w:lang w:val="en-US" w:eastAsia="zh-CN"/>
        </w:rPr>
        <w:t>9</w:t>
      </w:r>
      <w:r>
        <w:rPr>
          <w:rFonts w:hint="eastAsia" w:hAnsi="宋体"/>
          <w:b/>
          <w:color w:val="auto"/>
          <w:sz w:val="21"/>
          <w:szCs w:val="21"/>
          <w:highlight w:val="none"/>
        </w:rPr>
        <w:t>）</w:t>
      </w:r>
      <w:r>
        <w:rPr>
          <w:rFonts w:hint="eastAsia" w:hAnsi="宋体"/>
          <w:b/>
          <w:color w:val="auto"/>
          <w:sz w:val="21"/>
          <w:szCs w:val="21"/>
          <w:highlight w:val="none"/>
          <w:lang w:eastAsia="zh-CN"/>
        </w:rPr>
        <w:t>（</w:t>
      </w:r>
      <w:r>
        <w:rPr>
          <w:rFonts w:hint="eastAsia" w:hAnsi="宋体"/>
          <w:b/>
          <w:color w:val="auto"/>
          <w:sz w:val="21"/>
          <w:szCs w:val="21"/>
          <w:highlight w:val="none"/>
        </w:rPr>
        <w:t>必须提供</w:t>
      </w:r>
      <w:r>
        <w:rPr>
          <w:rFonts w:hint="eastAsia" w:hAnsi="宋体"/>
          <w:b/>
          <w:color w:val="auto"/>
          <w:sz w:val="21"/>
          <w:szCs w:val="21"/>
          <w:highlight w:val="none"/>
          <w:lang w:eastAsia="zh-CN"/>
        </w:rPr>
        <w:t>）</w:t>
      </w:r>
      <w:r>
        <w:rPr>
          <w:rFonts w:hint="eastAsia" w:hAnsi="宋体"/>
          <w:b/>
          <w:color w:val="auto"/>
          <w:sz w:val="21"/>
          <w:szCs w:val="21"/>
          <w:highlight w:val="none"/>
        </w:rPr>
        <w:t>。</w:t>
      </w:r>
    </w:p>
    <w:p w14:paraId="12E8E557">
      <w:pPr>
        <w:spacing w:line="360" w:lineRule="auto"/>
        <w:ind w:left="0" w:leftChars="0" w:firstLine="438" w:firstLineChars="209"/>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12</w:t>
      </w:r>
      <w:r>
        <w:rPr>
          <w:rFonts w:hint="eastAsia"/>
          <w:color w:val="auto"/>
          <w:sz w:val="21"/>
          <w:szCs w:val="21"/>
          <w:highlight w:val="none"/>
        </w:rPr>
        <w:t>）供应商认为需要提供的有关资料。</w:t>
      </w:r>
    </w:p>
    <w:p w14:paraId="72A9FDF6">
      <w:pPr>
        <w:pStyle w:val="13"/>
        <w:adjustRightInd w:val="0"/>
        <w:snapToGrid w:val="0"/>
        <w:spacing w:line="360" w:lineRule="auto"/>
        <w:ind w:left="108" w:leftChars="49" w:firstLine="422" w:firstLineChars="200"/>
        <w:rPr>
          <w:rFonts w:hAnsi="宋体"/>
          <w:b/>
          <w:color w:val="auto"/>
          <w:sz w:val="21"/>
          <w:szCs w:val="21"/>
          <w:highlight w:val="none"/>
          <w:u w:val="single"/>
        </w:rPr>
      </w:pPr>
      <w:r>
        <w:rPr>
          <w:rFonts w:hint="eastAsia"/>
          <w:b/>
          <w:color w:val="auto"/>
          <w:sz w:val="21"/>
          <w:szCs w:val="21"/>
          <w:highlight w:val="none"/>
        </w:rPr>
        <w:t>特别说明：（1）</w:t>
      </w:r>
      <w:r>
        <w:rPr>
          <w:rFonts w:hint="eastAsia"/>
          <w:b/>
          <w:color w:val="auto"/>
          <w:sz w:val="21"/>
          <w:szCs w:val="21"/>
          <w:highlight w:val="none"/>
          <w:u w:val="single"/>
        </w:rPr>
        <w:t>磋商文件要求提供的各种复印件，须加盖磋商供应商印章，否则其无效（含正、副本，正本与副本不一致的，以正本为准）。</w:t>
      </w:r>
    </w:p>
    <w:p w14:paraId="7E4EC849">
      <w:pPr>
        <w:spacing w:line="360" w:lineRule="auto"/>
        <w:rPr>
          <w:color w:val="auto"/>
          <w:sz w:val="21"/>
          <w:szCs w:val="21"/>
          <w:highlight w:val="none"/>
        </w:rPr>
      </w:pPr>
      <w:r>
        <w:rPr>
          <w:rFonts w:hint="eastAsia"/>
          <w:b/>
          <w:color w:val="auto"/>
          <w:sz w:val="21"/>
          <w:szCs w:val="21"/>
          <w:highlight w:val="none"/>
          <w:u w:val="single"/>
        </w:rPr>
        <w:t>（2）磋商文件要求“必须提供”的证明等材料，磋商供应商必须全部提供，缺一不可，否则磋商无效</w:t>
      </w:r>
    </w:p>
    <w:p w14:paraId="3042AD87">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 计量单位</w:t>
      </w:r>
    </w:p>
    <w:p w14:paraId="079FBC0A">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6.1除技术要求中另有规定外，本文件所要求使用的计量单位均应采用国家法定计量单位。</w:t>
      </w:r>
    </w:p>
    <w:p w14:paraId="3D739087">
      <w:pPr>
        <w:adjustRightInd w:val="0"/>
        <w:snapToGrid w:val="0"/>
        <w:spacing w:line="360" w:lineRule="auto"/>
        <w:ind w:firstLine="442" w:firstLineChars="200"/>
        <w:rPr>
          <w:b/>
          <w:color w:val="auto"/>
          <w:szCs w:val="21"/>
          <w:highlight w:val="none"/>
        </w:rPr>
      </w:pPr>
      <w:r>
        <w:rPr>
          <w:rFonts w:hint="eastAsia"/>
          <w:b/>
          <w:color w:val="auto"/>
          <w:szCs w:val="21"/>
          <w:highlight w:val="none"/>
        </w:rPr>
        <w:t>三、报价要求</w:t>
      </w:r>
    </w:p>
    <w:p w14:paraId="3793E63F">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w:t>
      </w:r>
      <w:r>
        <w:rPr>
          <w:rFonts w:hint="eastAsia"/>
          <w:color w:val="auto"/>
          <w:sz w:val="21"/>
          <w:szCs w:val="21"/>
          <w:highlight w:val="none"/>
          <w:lang w:val="en-US" w:eastAsia="zh-CN"/>
        </w:rPr>
        <w:t xml:space="preserve"> </w:t>
      </w:r>
      <w:r>
        <w:rPr>
          <w:rFonts w:hint="eastAsia"/>
          <w:color w:val="auto"/>
          <w:sz w:val="21"/>
          <w:szCs w:val="21"/>
          <w:highlight w:val="none"/>
        </w:rPr>
        <w:t>对于本文件中未列明，而供应商认为必需的费用也需列入总报价。在合同实施时，采购人将不予支付成交供应商没有列入总报价的项目费用，并认为此项目的费用已包括在总报价中。</w:t>
      </w:r>
    </w:p>
    <w:p w14:paraId="045ECBB2">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.1成交供应商负责本项目所需服务及售后服务等全部工作。</w:t>
      </w:r>
    </w:p>
    <w:p w14:paraId="39490ACA">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7</w:t>
      </w:r>
      <w:r>
        <w:rPr>
          <w:rFonts w:hint="eastAsia" w:hAnsi="宋体"/>
          <w:color w:val="auto"/>
          <w:sz w:val="21"/>
          <w:szCs w:val="21"/>
          <w:highlight w:val="none"/>
        </w:rPr>
        <w:t>.2供应商应用大写和小写分别详细填写基础指标报价表。大写和小写不一致的，以大写为准；对不同文字文本竞争性磋商响应文件的解释发生异议的，以中文文本为准。除上述原因以外，如果因供应商原因引起的报价失误，并在磋商时被接受，其后果由供应商自负。</w:t>
      </w:r>
    </w:p>
    <w:p w14:paraId="1C5BF49F">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.3报价：供应商可就《采购项目需求》中所有的服务内容作完整唯一报价。</w:t>
      </w:r>
    </w:p>
    <w:p w14:paraId="21FA619F">
      <w:pPr>
        <w:adjustRightInd w:val="0"/>
        <w:snapToGrid w:val="0"/>
        <w:spacing w:line="360" w:lineRule="auto"/>
        <w:ind w:firstLine="442" w:firstLineChars="200"/>
        <w:rPr>
          <w:b/>
          <w:color w:val="auto"/>
          <w:szCs w:val="21"/>
          <w:highlight w:val="none"/>
        </w:rPr>
      </w:pPr>
      <w:r>
        <w:rPr>
          <w:rFonts w:hint="eastAsia"/>
          <w:b/>
          <w:color w:val="auto"/>
          <w:szCs w:val="21"/>
          <w:highlight w:val="none"/>
        </w:rPr>
        <w:t>四、竞争性磋商响应文件的份数、封装和递交</w:t>
      </w:r>
    </w:p>
    <w:p w14:paraId="06A3D52E">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 竞争性磋商响应文件的份数和封装</w:t>
      </w:r>
    </w:p>
    <w:p w14:paraId="44F6CC46">
      <w:pPr>
        <w:pStyle w:val="13"/>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.1供应商应将竞争性磋商响应文件中“价格文件”和“商务技术文件”</w:t>
      </w:r>
      <w:r>
        <w:rPr>
          <w:rFonts w:hint="eastAsia" w:hAnsi="宋体" w:cs="Arial"/>
          <w:color w:val="auto"/>
          <w:sz w:val="21"/>
          <w:szCs w:val="21"/>
          <w:highlight w:val="none"/>
        </w:rPr>
        <w:t>装订成一本</w:t>
      </w:r>
      <w:r>
        <w:rPr>
          <w:rFonts w:hint="eastAsia"/>
          <w:color w:val="auto"/>
          <w:sz w:val="21"/>
          <w:szCs w:val="21"/>
          <w:highlight w:val="none"/>
        </w:rPr>
        <w:t>（两文件相隔之间用封面标识，封面写明“价格文件”、“商务技术文件”字样）。</w:t>
      </w:r>
    </w:p>
    <w:p w14:paraId="63A63163">
      <w:pPr>
        <w:pStyle w:val="13"/>
        <w:adjustRightInd w:val="0"/>
        <w:snapToGrid w:val="0"/>
        <w:spacing w:line="360" w:lineRule="auto"/>
        <w:ind w:firstLine="420" w:firstLineChars="200"/>
        <w:rPr>
          <w:rFonts w:hAnsi="宋体"/>
          <w:color w:val="auto"/>
          <w:sz w:val="21"/>
          <w:szCs w:val="21"/>
          <w:highlight w:val="none"/>
        </w:rPr>
      </w:pPr>
      <w:r>
        <w:rPr>
          <w:rFonts w:hint="eastAsia"/>
          <w:color w:val="auto"/>
          <w:sz w:val="21"/>
          <w:szCs w:val="21"/>
          <w:highlight w:val="none"/>
        </w:rPr>
        <w:t>供应商将竞争性磋商响应文件按正、副本分别装订成册，在每个正、副本封面上标明“正本”或“副本”，以及项目名称、项目编号、供应商名称等内容，副本可采用已签字盖单位公章的正本复印。</w:t>
      </w:r>
    </w:p>
    <w:p w14:paraId="6AC186D5">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.2供应商应将竞争性磋商响应文件正、副本（正本一份，副本二份）装入到一个竞争性磋商响应文件袋内，封装并加以密封（</w:t>
      </w:r>
      <w:r>
        <w:rPr>
          <w:rFonts w:hint="eastAsia"/>
          <w:b/>
          <w:color w:val="auto"/>
          <w:sz w:val="21"/>
          <w:szCs w:val="21"/>
          <w:highlight w:val="none"/>
        </w:rPr>
        <w:t>以文件袋无明显缝隙露出袋内文件表述内容且封口处有密封签章为合格</w:t>
      </w:r>
      <w:r>
        <w:rPr>
          <w:rFonts w:hint="eastAsia"/>
          <w:color w:val="auto"/>
          <w:sz w:val="21"/>
          <w:szCs w:val="21"/>
          <w:highlight w:val="none"/>
        </w:rPr>
        <w:t>）；文件袋外层封面上应写明：</w:t>
      </w:r>
    </w:p>
    <w:p w14:paraId="72470908">
      <w:pPr>
        <w:tabs>
          <w:tab w:val="left" w:pos="9639"/>
          <w:tab w:val="left" w:pos="9746"/>
        </w:tabs>
        <w:adjustRightInd w:val="0"/>
        <w:snapToGrid w:val="0"/>
        <w:spacing w:line="360" w:lineRule="auto"/>
        <w:ind w:firstLine="420" w:firstLineChars="200"/>
        <w:rPr>
          <w:rFonts w:cs="Arial"/>
          <w:color w:val="auto"/>
          <w:sz w:val="21"/>
          <w:szCs w:val="21"/>
          <w:highlight w:val="none"/>
          <w:lang w:val="en-US"/>
        </w:rPr>
      </w:pPr>
      <w:r>
        <w:rPr>
          <w:rFonts w:hint="eastAsia"/>
          <w:color w:val="auto"/>
          <w:sz w:val="21"/>
          <w:szCs w:val="21"/>
          <w:highlight w:val="none"/>
        </w:rPr>
        <w:t>（1）项目名称：</w:t>
      </w:r>
    </w:p>
    <w:p w14:paraId="1D8926DE">
      <w:pPr>
        <w:pStyle w:val="13"/>
        <w:adjustRightInd w:val="0"/>
        <w:snapToGrid w:val="0"/>
        <w:spacing w:line="360" w:lineRule="auto"/>
        <w:ind w:firstLine="420" w:firstLineChars="200"/>
        <w:rPr>
          <w:rFonts w:hAnsi="宋体"/>
          <w:color w:val="auto"/>
          <w:sz w:val="21"/>
          <w:szCs w:val="21"/>
          <w:highlight w:val="none"/>
          <w:lang w:val="en-US"/>
        </w:rPr>
      </w:pPr>
      <w:r>
        <w:rPr>
          <w:rFonts w:hint="eastAsia" w:hAnsi="宋体"/>
          <w:color w:val="auto"/>
          <w:sz w:val="21"/>
          <w:szCs w:val="21"/>
          <w:highlight w:val="none"/>
        </w:rPr>
        <w:t>（2）项目编号：</w:t>
      </w:r>
    </w:p>
    <w:p w14:paraId="36F18329">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（3）供应商名称：</w:t>
      </w:r>
    </w:p>
    <w:p w14:paraId="453D934A">
      <w:pPr>
        <w:adjustRightInd w:val="0"/>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（4）（截标时才能启封）</w:t>
      </w:r>
    </w:p>
    <w:p w14:paraId="77AC1DCF">
      <w:pPr>
        <w:pStyle w:val="13"/>
        <w:widowControl w:val="0"/>
        <w:wordWrap/>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响应文件电子版</w:t>
      </w:r>
      <w:r>
        <w:rPr>
          <w:rFonts w:hint="eastAsia" w:ascii="宋体" w:hAnsi="宋体" w:eastAsia="宋体" w:cs="宋体"/>
          <w:color w:val="auto"/>
          <w:sz w:val="21"/>
          <w:szCs w:val="21"/>
          <w:highlight w:val="none"/>
          <w:lang w:eastAsia="zh-CN"/>
        </w:rPr>
        <w:t>要求：</w:t>
      </w:r>
    </w:p>
    <w:p w14:paraId="55F99D5E">
      <w:pPr>
        <w:pStyle w:val="13"/>
        <w:widowControl w:val="0"/>
        <w:wordWrap/>
        <w:spacing w:line="360" w:lineRule="auto"/>
        <w:ind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1）响应文件电子版份数：1份。</w:t>
      </w:r>
    </w:p>
    <w:p w14:paraId="40D42817">
      <w:pPr>
        <w:pStyle w:val="13"/>
        <w:widowControl w:val="0"/>
        <w:wordWrap/>
        <w:spacing w:line="360" w:lineRule="auto"/>
        <w:ind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2）响应文件电子版形式：可编辑的word文档格式</w:t>
      </w:r>
      <w:r>
        <w:rPr>
          <w:rFonts w:hint="eastAsia" w:hAnsi="宋体" w:cs="宋体"/>
          <w:color w:val="auto"/>
          <w:sz w:val="21"/>
          <w:szCs w:val="21"/>
          <w:highlight w:val="none"/>
          <w:lang w:eastAsia="zh-CN"/>
        </w:rPr>
        <w:t>和已盖章的正本扫描件</w:t>
      </w:r>
      <w:r>
        <w:rPr>
          <w:rFonts w:hint="eastAsia" w:ascii="宋体" w:hAnsi="宋体" w:eastAsia="宋体" w:cs="宋体"/>
          <w:color w:val="auto"/>
          <w:sz w:val="21"/>
          <w:szCs w:val="21"/>
          <w:highlight w:val="none"/>
        </w:rPr>
        <w:t>。</w:t>
      </w:r>
    </w:p>
    <w:p w14:paraId="07542720">
      <w:pPr>
        <w:pStyle w:val="13"/>
        <w:widowControl w:val="0"/>
        <w:wordWrap/>
        <w:adjustRightInd w:val="0"/>
        <w:snapToGrid w:val="0"/>
        <w:spacing w:line="360" w:lineRule="auto"/>
        <w:ind w:firstLine="630" w:firstLineChars="300"/>
        <w:textAlignment w:val="auto"/>
        <w:rPr>
          <w:color w:val="auto"/>
          <w:sz w:val="21"/>
          <w:szCs w:val="21"/>
          <w:highlight w:val="none"/>
        </w:rPr>
      </w:pPr>
      <w:r>
        <w:rPr>
          <w:rFonts w:hint="eastAsia" w:ascii="宋体" w:hAnsi="宋体" w:eastAsia="宋体" w:cs="宋体"/>
          <w:color w:val="auto"/>
          <w:sz w:val="21"/>
          <w:szCs w:val="21"/>
          <w:highlight w:val="none"/>
        </w:rPr>
        <w:t>3）响应文件电子版密封方式：将响应文件电子版（以U盘形式）与纸质版响应文件一并装入响应文件袋中。</w:t>
      </w:r>
    </w:p>
    <w:p w14:paraId="07161BD5">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.3竞争性磋商响应文件的递交</w:t>
      </w:r>
    </w:p>
    <w:p w14:paraId="1A35522B">
      <w:pPr>
        <w:adjustRightInd w:val="0"/>
        <w:snapToGrid w:val="0"/>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lang w:val="en-US" w:eastAsia="zh-CN"/>
        </w:rPr>
        <w:t>8</w:t>
      </w:r>
      <w:r>
        <w:rPr>
          <w:rFonts w:hint="eastAsia"/>
          <w:color w:val="auto"/>
          <w:sz w:val="21"/>
          <w:szCs w:val="21"/>
          <w:highlight w:val="none"/>
        </w:rPr>
        <w:t>.4所有竞争性磋商响应文件应于竞争性磋商文件中规定的时间前递交到</w:t>
      </w:r>
      <w:r>
        <w:rPr>
          <w:rFonts w:hint="eastAsia" w:ascii="Times New Roman"/>
          <w:color w:val="auto"/>
          <w:sz w:val="21"/>
          <w:szCs w:val="21"/>
          <w:highlight w:val="none"/>
          <w:lang w:val="en-US"/>
        </w:rPr>
        <w:t>广西瑞真工程造价咨询有限责任公司开标室（北海市重庆路发展大厦</w:t>
      </w:r>
      <w:r>
        <w:rPr>
          <w:rFonts w:ascii="Times New Roman"/>
          <w:color w:val="auto"/>
          <w:sz w:val="21"/>
          <w:szCs w:val="21"/>
          <w:highlight w:val="none"/>
          <w:lang w:val="en-US"/>
        </w:rPr>
        <w:t>A</w:t>
      </w:r>
      <w:r>
        <w:rPr>
          <w:rFonts w:hint="eastAsia" w:ascii="Times New Roman"/>
          <w:color w:val="auto"/>
          <w:sz w:val="21"/>
          <w:szCs w:val="21"/>
          <w:highlight w:val="none"/>
          <w:lang w:val="en-US"/>
        </w:rPr>
        <w:t>座</w:t>
      </w:r>
      <w:r>
        <w:rPr>
          <w:rFonts w:ascii="Times New Roman"/>
          <w:color w:val="auto"/>
          <w:sz w:val="21"/>
          <w:szCs w:val="21"/>
          <w:highlight w:val="none"/>
          <w:lang w:val="en-US"/>
        </w:rPr>
        <w:t>701</w:t>
      </w:r>
      <w:r>
        <w:rPr>
          <w:rFonts w:hint="eastAsia" w:ascii="Times New Roman"/>
          <w:color w:val="auto"/>
          <w:sz w:val="21"/>
          <w:szCs w:val="21"/>
          <w:highlight w:val="none"/>
          <w:lang w:val="en-US"/>
        </w:rPr>
        <w:t>室）</w:t>
      </w:r>
      <w:r>
        <w:rPr>
          <w:rFonts w:hint="eastAsia"/>
          <w:color w:val="auto"/>
          <w:sz w:val="21"/>
          <w:szCs w:val="21"/>
          <w:highlight w:val="none"/>
        </w:rPr>
        <w:t>。</w:t>
      </w:r>
      <w:r>
        <w:rPr>
          <w:rFonts w:hint="eastAsia"/>
          <w:color w:val="auto"/>
          <w:sz w:val="21"/>
          <w:szCs w:val="21"/>
          <w:highlight w:val="none"/>
          <w:lang w:val="en-US" w:eastAsia="zh-CN"/>
        </w:rPr>
        <w:t>递交</w:t>
      </w:r>
      <w:r>
        <w:rPr>
          <w:rFonts w:hint="eastAsia"/>
          <w:color w:val="auto"/>
          <w:sz w:val="21"/>
          <w:szCs w:val="21"/>
          <w:highlight w:val="none"/>
        </w:rPr>
        <w:t>竞争性磋商文件</w:t>
      </w:r>
      <w:r>
        <w:rPr>
          <w:rFonts w:hint="eastAsia"/>
          <w:color w:val="auto"/>
          <w:sz w:val="21"/>
          <w:szCs w:val="21"/>
          <w:highlight w:val="none"/>
          <w:lang w:val="en-US" w:eastAsia="zh-CN"/>
        </w:rPr>
        <w:t>时需同时提交</w:t>
      </w:r>
      <w:r>
        <w:rPr>
          <w:rFonts w:hint="eastAsia"/>
          <w:color w:val="auto"/>
          <w:sz w:val="21"/>
          <w:szCs w:val="21"/>
        </w:rPr>
        <w:t>法定代表人身份证明书原件（法定代表人提供）或法定代表人的授权委托书原件（委托代理</w:t>
      </w:r>
      <w:r>
        <w:rPr>
          <w:rFonts w:hint="eastAsia"/>
          <w:color w:val="auto"/>
          <w:sz w:val="21"/>
          <w:szCs w:val="21"/>
          <w:lang w:val="en-US" w:eastAsia="zh-CN"/>
        </w:rPr>
        <w:t>时</w:t>
      </w:r>
      <w:r>
        <w:rPr>
          <w:rFonts w:hint="eastAsia"/>
          <w:color w:val="auto"/>
          <w:sz w:val="21"/>
          <w:szCs w:val="21"/>
        </w:rPr>
        <w:t>）</w:t>
      </w:r>
      <w:r>
        <w:rPr>
          <w:rFonts w:hint="eastAsia"/>
          <w:color w:val="auto"/>
          <w:sz w:val="21"/>
          <w:szCs w:val="21"/>
          <w:lang w:val="en-US" w:eastAsia="zh-CN"/>
        </w:rPr>
        <w:t>和</w:t>
      </w:r>
      <w:r>
        <w:rPr>
          <w:rFonts w:hint="eastAsia"/>
          <w:color w:val="auto"/>
          <w:sz w:val="21"/>
          <w:szCs w:val="21"/>
        </w:rPr>
        <w:t>法定代表人或委托代理人</w:t>
      </w:r>
      <w:r>
        <w:rPr>
          <w:rFonts w:hint="eastAsia"/>
          <w:color w:val="auto"/>
          <w:sz w:val="21"/>
          <w:szCs w:val="21"/>
          <w:lang w:val="en-US" w:eastAsia="zh-CN"/>
        </w:rPr>
        <w:t>的</w:t>
      </w:r>
      <w:r>
        <w:rPr>
          <w:rFonts w:hint="eastAsia"/>
          <w:color w:val="auto"/>
          <w:sz w:val="21"/>
          <w:szCs w:val="21"/>
        </w:rPr>
        <w:t>居民身份证</w:t>
      </w:r>
      <w:r>
        <w:rPr>
          <w:rFonts w:hint="eastAsia"/>
          <w:color w:val="auto"/>
          <w:sz w:val="21"/>
          <w:szCs w:val="21"/>
          <w:lang w:eastAsia="zh-CN"/>
        </w:rPr>
        <w:t>。</w:t>
      </w:r>
    </w:p>
    <w:p w14:paraId="46DA9646">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.5竞争性磋商响应文件从响应文件递交截止日期后</w:t>
      </w:r>
      <w:r>
        <w:rPr>
          <w:rFonts w:hint="eastAsia"/>
          <w:color w:val="auto"/>
          <w:sz w:val="21"/>
          <w:szCs w:val="21"/>
          <w:highlight w:val="none"/>
          <w:u w:val="single"/>
        </w:rPr>
        <w:t>六十日</w:t>
      </w:r>
      <w:r>
        <w:rPr>
          <w:rFonts w:hint="eastAsia"/>
          <w:color w:val="auto"/>
          <w:sz w:val="21"/>
          <w:szCs w:val="21"/>
          <w:highlight w:val="none"/>
        </w:rPr>
        <w:t>内有效。</w:t>
      </w:r>
    </w:p>
    <w:p w14:paraId="283A493E">
      <w:pPr>
        <w:numPr>
          <w:ilvl w:val="0"/>
          <w:numId w:val="2"/>
        </w:num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迟交的竞争性磋商响应文件</w:t>
      </w:r>
    </w:p>
    <w:p w14:paraId="4BC5E41A">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.1在本文件要求竞争性磋商响应文件递交截止时间后送达的竞争性磋商响应文件为无效文件，</w:t>
      </w:r>
      <w:r>
        <w:rPr>
          <w:rFonts w:hint="eastAsia"/>
          <w:color w:val="auto"/>
          <w:sz w:val="21"/>
          <w:szCs w:val="21"/>
          <w:highlight w:val="none"/>
          <w:lang w:eastAsia="zh-CN"/>
        </w:rPr>
        <w:t>本公司</w:t>
      </w:r>
      <w:r>
        <w:rPr>
          <w:rFonts w:hint="eastAsia"/>
          <w:color w:val="auto"/>
          <w:sz w:val="21"/>
          <w:szCs w:val="21"/>
          <w:highlight w:val="none"/>
        </w:rPr>
        <w:t>将拒收。</w:t>
      </w:r>
    </w:p>
    <w:p w14:paraId="1468AEAA">
      <w:pPr>
        <w:numPr>
          <w:ilvl w:val="0"/>
          <w:numId w:val="2"/>
        </w:numPr>
        <w:adjustRightInd w:val="0"/>
        <w:snapToGrid w:val="0"/>
        <w:spacing w:line="360" w:lineRule="auto"/>
        <w:ind w:left="0" w:leftChars="0" w:firstLine="420" w:firstLineChars="200"/>
        <w:rPr>
          <w:bCs/>
          <w:color w:val="auto"/>
          <w:sz w:val="21"/>
          <w:szCs w:val="21"/>
          <w:highlight w:val="none"/>
        </w:rPr>
      </w:pPr>
      <w:r>
        <w:rPr>
          <w:rFonts w:hint="eastAsia"/>
          <w:color w:val="auto"/>
          <w:sz w:val="21"/>
          <w:szCs w:val="21"/>
          <w:highlight w:val="none"/>
        </w:rPr>
        <w:t>磋商保证金应用人民币：</w:t>
      </w:r>
      <w:r>
        <w:rPr>
          <w:rFonts w:hint="eastAsia"/>
          <w:bCs/>
          <w:color w:val="auto"/>
          <w:sz w:val="21"/>
          <w:szCs w:val="21"/>
          <w:highlight w:val="none"/>
          <w:lang w:val="en-US" w:eastAsia="zh-CN"/>
        </w:rPr>
        <w:t>无要求</w:t>
      </w:r>
      <w:r>
        <w:rPr>
          <w:rFonts w:hint="eastAsia"/>
          <w:bCs/>
          <w:color w:val="auto"/>
          <w:sz w:val="21"/>
          <w:szCs w:val="21"/>
          <w:highlight w:val="none"/>
        </w:rPr>
        <w:t>。</w:t>
      </w:r>
    </w:p>
    <w:p w14:paraId="1E02A340">
      <w:pPr>
        <w:adjustRightInd w:val="0"/>
        <w:snapToGrid w:val="0"/>
        <w:spacing w:line="360" w:lineRule="auto"/>
        <w:ind w:firstLine="442" w:firstLineChars="200"/>
        <w:rPr>
          <w:b/>
          <w:color w:val="auto"/>
          <w:szCs w:val="21"/>
          <w:highlight w:val="none"/>
        </w:rPr>
      </w:pPr>
      <w:r>
        <w:rPr>
          <w:rFonts w:hint="eastAsia"/>
          <w:b/>
          <w:bCs/>
          <w:color w:val="auto"/>
          <w:szCs w:val="21"/>
          <w:highlight w:val="none"/>
        </w:rPr>
        <w:t>五、</w:t>
      </w:r>
      <w:r>
        <w:rPr>
          <w:rFonts w:hint="eastAsia"/>
          <w:b/>
          <w:color w:val="auto"/>
          <w:highlight w:val="none"/>
        </w:rPr>
        <w:t>磋</w:t>
      </w:r>
      <w:r>
        <w:rPr>
          <w:rFonts w:hint="eastAsia"/>
          <w:b/>
          <w:bCs/>
          <w:color w:val="auto"/>
          <w:szCs w:val="21"/>
          <w:highlight w:val="none"/>
        </w:rPr>
        <w:t>商程序及评审方法</w:t>
      </w:r>
    </w:p>
    <w:p w14:paraId="38082A44">
      <w:pPr>
        <w:adjustRightInd w:val="0"/>
        <w:snapToGrid w:val="0"/>
        <w:spacing w:line="360" w:lineRule="auto"/>
        <w:ind w:firstLine="420" w:firstLineChars="200"/>
        <w:rPr>
          <w:color w:val="auto"/>
          <w:sz w:val="21"/>
          <w:szCs w:val="21"/>
          <w:highlight w:val="none"/>
        </w:rPr>
      </w:pPr>
      <w:r>
        <w:rPr>
          <w:rFonts w:hint="eastAsia"/>
          <w:bCs/>
          <w:color w:val="auto"/>
          <w:sz w:val="21"/>
          <w:szCs w:val="21"/>
          <w:highlight w:val="none"/>
        </w:rPr>
        <w:t>在磋商正式开始前由磋商小组对竞争性磋商文件进行确认，认可竞争性磋商文件的内容符合法律法规的规定、不存在歧视性或排他性内容。</w:t>
      </w:r>
      <w:r>
        <w:rPr>
          <w:rFonts w:hint="eastAsia"/>
          <w:color w:val="auto"/>
          <w:sz w:val="21"/>
          <w:szCs w:val="21"/>
          <w:highlight w:val="none"/>
        </w:rPr>
        <w:t>未实质性响应竞争性</w:t>
      </w:r>
      <w:r>
        <w:rPr>
          <w:rFonts w:hint="eastAsia"/>
          <w:color w:val="auto"/>
          <w:sz w:val="21"/>
          <w:szCs w:val="21"/>
          <w:highlight w:val="none"/>
          <w:lang w:val="en-US"/>
        </w:rPr>
        <w:t>磋商</w:t>
      </w:r>
      <w:r>
        <w:rPr>
          <w:rFonts w:hint="eastAsia"/>
          <w:color w:val="auto"/>
          <w:sz w:val="21"/>
          <w:szCs w:val="21"/>
          <w:highlight w:val="none"/>
        </w:rPr>
        <w:t>文件的竞争性</w:t>
      </w:r>
      <w:r>
        <w:rPr>
          <w:rFonts w:hint="eastAsia"/>
          <w:color w:val="auto"/>
          <w:sz w:val="21"/>
          <w:szCs w:val="21"/>
          <w:highlight w:val="none"/>
          <w:lang w:val="en-US"/>
        </w:rPr>
        <w:t>磋商</w:t>
      </w:r>
      <w:r>
        <w:rPr>
          <w:rFonts w:hint="eastAsia"/>
          <w:color w:val="auto"/>
          <w:sz w:val="21"/>
          <w:szCs w:val="21"/>
          <w:highlight w:val="none"/>
        </w:rPr>
        <w:t>响应文件按无效处理，</w:t>
      </w:r>
      <w:r>
        <w:rPr>
          <w:rFonts w:hint="eastAsia"/>
          <w:color w:val="auto"/>
          <w:sz w:val="21"/>
          <w:szCs w:val="21"/>
          <w:highlight w:val="none"/>
          <w:lang w:val="en-US"/>
        </w:rPr>
        <w:t>磋商</w:t>
      </w:r>
      <w:r>
        <w:rPr>
          <w:rFonts w:hint="eastAsia"/>
          <w:color w:val="auto"/>
          <w:sz w:val="21"/>
          <w:szCs w:val="21"/>
          <w:highlight w:val="none"/>
        </w:rPr>
        <w:t>小组应当告知有关供应商。</w:t>
      </w:r>
    </w:p>
    <w:p w14:paraId="30C5F76A">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.1第一轮磋商</w:t>
      </w:r>
    </w:p>
    <w:p w14:paraId="423E3349">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磋商时间及地点: 详见本须知前附表第8项规定。</w:t>
      </w:r>
    </w:p>
    <w:p w14:paraId="6251CDBD">
      <w:pPr>
        <w:widowControl/>
        <w:tabs>
          <w:tab w:val="left" w:pos="540"/>
        </w:tabs>
        <w:adjustRightInd w:val="0"/>
        <w:snapToGrid w:val="0"/>
        <w:spacing w:line="360" w:lineRule="auto"/>
        <w:rPr>
          <w:color w:val="auto"/>
          <w:sz w:val="21"/>
          <w:szCs w:val="21"/>
          <w:highlight w:val="none"/>
        </w:rPr>
      </w:pPr>
      <w:r>
        <w:rPr>
          <w:rFonts w:hint="eastAsia"/>
          <w:color w:val="auto"/>
          <w:sz w:val="21"/>
          <w:szCs w:val="21"/>
          <w:highlight w:val="none"/>
          <w:lang w:val="en-US"/>
        </w:rPr>
        <w:t xml:space="preserve">    </w:t>
      </w:r>
      <w:r>
        <w:rPr>
          <w:rFonts w:hint="eastAsia"/>
          <w:color w:val="auto"/>
          <w:sz w:val="21"/>
          <w:szCs w:val="21"/>
          <w:highlight w:val="none"/>
        </w:rPr>
        <w:t>磋商小组对竞争性磋商响应文件进行资格性审查，依据竞争性磋商文件对已通过资格性审核的各竞争性磋商响应文件进行书面评审，审查竞争性磋商响应文件是否实质上响应了竞争性磋商文件的要求，在评审后由磋商小组组长主持，归纳各专家审核意见，形成磋商要点。磋商小组依据磋商要点，与单一供应商分别进行磋商，给予所有参加磋商的供应商平等的磋商机会。</w:t>
      </w:r>
    </w:p>
    <w:p w14:paraId="4CB512C9">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磋商评审在严格保密的情况下进行，磋商的任何一方不得透露与磋商有关的其他供应商的技术资料、价格和其他信息。</w:t>
      </w:r>
      <w:r>
        <w:rPr>
          <w:rFonts w:hint="eastAsia"/>
          <w:color w:val="auto"/>
          <w:sz w:val="21"/>
          <w:szCs w:val="21"/>
          <w:highlight w:val="none"/>
          <w:lang w:eastAsia="zh-CN"/>
        </w:rPr>
        <w:t>本公司</w:t>
      </w:r>
      <w:r>
        <w:rPr>
          <w:rFonts w:hint="eastAsia"/>
          <w:color w:val="auto"/>
          <w:sz w:val="21"/>
          <w:szCs w:val="21"/>
          <w:highlight w:val="none"/>
        </w:rPr>
        <w:t>对磋商过程和重要磋商内容进行记录，磋商双方在记录上签字确认。</w:t>
      </w:r>
    </w:p>
    <w:p w14:paraId="77CB6C7B">
      <w:pPr>
        <w:widowControl/>
        <w:tabs>
          <w:tab w:val="left" w:pos="540"/>
        </w:tabs>
        <w:adjustRightInd w:val="0"/>
        <w:snapToGrid w:val="0"/>
        <w:spacing w:line="360" w:lineRule="auto"/>
        <w:rPr>
          <w:color w:val="auto"/>
          <w:sz w:val="21"/>
          <w:szCs w:val="21"/>
          <w:highlight w:val="none"/>
        </w:rPr>
      </w:pPr>
      <w:r>
        <w:rPr>
          <w:rFonts w:hint="eastAsia"/>
          <w:color w:val="auto"/>
          <w:sz w:val="21"/>
          <w:szCs w:val="21"/>
          <w:highlight w:val="none"/>
        </w:rPr>
        <w:t>磋商后，供应商根据磋商小组统一整理的书面磋商记录要求做出书面承诺，并由其法定代表人或授权代表签字或者加盖公章后按时密封递交。</w:t>
      </w:r>
    </w:p>
    <w:p w14:paraId="0E033A0C">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当磋商小组一致确定供应商的竞争性磋商响应文件能够详细列明采购标的技术、服务要求且符合竞争性磋商文件要求，无需再磋商的，磋商小组按竞争性磋商文件设定的综合评分法确定成交候选供应商。第一轮磋商后竞争性磋商文件有实质性变动或仍需磋商的，磋商小组对竞争性磋商文件变动或提出磋商意见后进行第二轮磋商。</w:t>
      </w:r>
    </w:p>
    <w:p w14:paraId="13AB9329">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.2竞争性磋商文件变动</w:t>
      </w:r>
    </w:p>
    <w:p w14:paraId="68E67F47">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第一轮磋商结束后，各供应商退场等候，由磋商小组组长主持，根据竞争性磋商文件和磋商情况结合第一轮磋商整体情况，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522939B0">
      <w:pPr>
        <w:widowControl/>
        <w:tabs>
          <w:tab w:val="left" w:pos="540"/>
        </w:tabs>
        <w:adjustRightInd w:val="0"/>
        <w:snapToGrid w:val="0"/>
        <w:spacing w:line="360" w:lineRule="auto"/>
        <w:rPr>
          <w:color w:val="auto"/>
          <w:sz w:val="21"/>
          <w:szCs w:val="21"/>
          <w:highlight w:val="none"/>
        </w:rPr>
      </w:pPr>
      <w:r>
        <w:rPr>
          <w:rFonts w:hint="eastAsia"/>
          <w:color w:val="auto"/>
          <w:sz w:val="21"/>
          <w:szCs w:val="21"/>
          <w:highlight w:val="none"/>
        </w:rPr>
        <w:t>对竞争性磋商文件作出的实质性变动是竞争性磋商文件的有效组成部分，磋商小组应当及时以书面形式同时通知所有参加磋商的供应商，并要求供应商做出书面响应。</w:t>
      </w:r>
    </w:p>
    <w:p w14:paraId="6C547C72">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供应商应当按照竞争性磋商文件的变动情况和磋商小组的要求重新提交竞争性磋商响应文件，并由其法定代表人或授权代表签字或者加盖公章后密封递交。由授权代表签字的，应当附法定代表人授权书。供应商为自然人的，应当由本人签字并附身份证明。逾时不交的，视同放弃磋商。重新提交的响应文件与竞争性磋商响应文件同具法律效力。</w:t>
      </w:r>
    </w:p>
    <w:p w14:paraId="74093BBE">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.3第二轮磋商</w:t>
      </w:r>
    </w:p>
    <w:p w14:paraId="5C7833FC">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磋商小组集中就重新提交的响应文件或磋商小组提出的磋商意见与单一响应供应商分别进行磋商。</w:t>
      </w:r>
      <w:r>
        <w:rPr>
          <w:rFonts w:hint="eastAsia"/>
          <w:color w:val="auto"/>
          <w:sz w:val="21"/>
          <w:szCs w:val="21"/>
          <w:highlight w:val="none"/>
          <w:lang w:eastAsia="zh-CN"/>
        </w:rPr>
        <w:t>本公司</w:t>
      </w:r>
      <w:r>
        <w:rPr>
          <w:rFonts w:hint="eastAsia"/>
          <w:color w:val="auto"/>
          <w:sz w:val="21"/>
          <w:szCs w:val="21"/>
          <w:highlight w:val="none"/>
        </w:rPr>
        <w:t>对磋商过程和重要磋商内容进行记录，磋商双方在记录上签字确认。</w:t>
      </w:r>
    </w:p>
    <w:p w14:paraId="57252659">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磋商后，供应商根据磋商小组统一整理的书面磋商记录要求做出书面承诺，并由其法定代表人或授权代表签字或者加盖公章后按时密封递交。</w:t>
      </w:r>
    </w:p>
    <w:p w14:paraId="71EB16FB">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当磋商小组一致确定供应商的竞争性磋商响应文件能够详细列明采购标的技术、服务要求且符合竞争性磋商文件要求，无需再磋商的，磋商小组按竞争性磋商文件设定的程序和综合评分法确定成交候选供应商。第二轮磋商后竞争性磋商文件仍有实质性变动的或仍需磋商的，磋商小组对竞争性磋商文件变动或提出磋商意见后进行第三轮磋商。以此类推。</w:t>
      </w:r>
    </w:p>
    <w:p w14:paraId="5886691B">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.4最后报价及成交候选供应商推荐</w:t>
      </w:r>
    </w:p>
    <w:p w14:paraId="468E075E">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磋商结束后，磋商小组要求所有继续参加磋商的供应商在规定时间内提交最后报价</w:t>
      </w:r>
      <w:r>
        <w:rPr>
          <w:rFonts w:hint="eastAsia"/>
          <w:b/>
          <w:color w:val="auto"/>
          <w:sz w:val="21"/>
          <w:szCs w:val="21"/>
          <w:highlight w:val="none"/>
        </w:rPr>
        <w:t>（最终报价前的每轮磋商报价原则上都要比上一轮磋商报价低）</w:t>
      </w:r>
      <w:r>
        <w:rPr>
          <w:rFonts w:hint="eastAsia"/>
          <w:color w:val="auto"/>
          <w:sz w:val="21"/>
          <w:szCs w:val="21"/>
          <w:highlight w:val="none"/>
        </w:rPr>
        <w:t>。继续参加磋商的供应商作最后报价，由其法定代表人或授权代表签字或者加盖公章后密封递交磋商小组。</w:t>
      </w:r>
    </w:p>
    <w:p w14:paraId="3C628E48">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磋商小组根据综合评分情况，按照评审得分</w:t>
      </w:r>
      <w:r>
        <w:rPr>
          <w:rFonts w:hint="eastAsia"/>
          <w:b/>
          <w:color w:val="auto"/>
          <w:sz w:val="21"/>
          <w:szCs w:val="21"/>
          <w:highlight w:val="none"/>
        </w:rPr>
        <w:t>由</w:t>
      </w:r>
      <w:r>
        <w:rPr>
          <w:rFonts w:hint="eastAsia"/>
          <w:b/>
          <w:color w:val="auto"/>
          <w:sz w:val="21"/>
          <w:szCs w:val="21"/>
          <w:highlight w:val="none"/>
          <w:u w:val="single"/>
        </w:rPr>
        <w:t>高到低顺序推荐3名以上成交候选供应商</w:t>
      </w:r>
      <w:r>
        <w:rPr>
          <w:rFonts w:hint="eastAsia"/>
          <w:color w:val="auto"/>
          <w:sz w:val="21"/>
          <w:szCs w:val="21"/>
          <w:highlight w:val="none"/>
        </w:rPr>
        <w:t>，并编写评审报告。评审得分相同的，由竞争性磋商小组按照基础指标最后报价优劣顺序集体研究后推荐。评审得分且基础指标最后报价相同的，由竞争性磋商小组按照具体技术指标优劣顺序集体研究后推荐。最后报价是供应商竞争性磋商响应文件的有效组成部分。</w:t>
      </w:r>
    </w:p>
    <w:p w14:paraId="77E24F2A">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F4AF78F">
      <w:pPr>
        <w:widowControl/>
        <w:tabs>
          <w:tab w:val="left" w:pos="540"/>
        </w:tabs>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.5供应商的基础指标报价均不能满足采购人业务指标需要的，磋商活动终止。</w:t>
      </w:r>
    </w:p>
    <w:p w14:paraId="6B041B10">
      <w:pPr>
        <w:pStyle w:val="13"/>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1</w:t>
      </w:r>
      <w:r>
        <w:rPr>
          <w:rFonts w:hint="eastAsia"/>
          <w:color w:val="auto"/>
          <w:sz w:val="21"/>
          <w:szCs w:val="21"/>
          <w:highlight w:val="none"/>
        </w:rPr>
        <w:t>.6本采购项目的评审依据为竞争性磋商文件和竞争性磋商响应文件，采用的评审方法为综合评分法。</w:t>
      </w:r>
    </w:p>
    <w:p w14:paraId="645643B6">
      <w:pPr>
        <w:spacing w:line="360" w:lineRule="auto"/>
        <w:ind w:firstLine="442" w:firstLineChars="200"/>
        <w:rPr>
          <w:b/>
          <w:color w:val="auto"/>
          <w:szCs w:val="21"/>
          <w:highlight w:val="none"/>
        </w:rPr>
      </w:pPr>
      <w:r>
        <w:rPr>
          <w:rFonts w:hint="eastAsia"/>
          <w:b/>
          <w:color w:val="auto"/>
          <w:szCs w:val="21"/>
          <w:highlight w:val="none"/>
        </w:rPr>
        <w:t>六、无效条款</w:t>
      </w:r>
    </w:p>
    <w:p w14:paraId="24EA2158">
      <w:pPr>
        <w:pStyle w:val="13"/>
        <w:adjustRightInd w:val="0"/>
        <w:snapToGrid w:val="0"/>
        <w:spacing w:line="360" w:lineRule="auto"/>
        <w:ind w:firstLine="442" w:firstLineChars="200"/>
        <w:rPr>
          <w:rFonts w:hAnsi="宋体"/>
          <w:b/>
          <w:color w:val="auto"/>
          <w:highlight w:val="none"/>
        </w:rPr>
      </w:pPr>
      <w:r>
        <w:rPr>
          <w:rFonts w:hint="eastAsia" w:hAnsi="宋体"/>
          <w:b/>
          <w:color w:val="auto"/>
          <w:highlight w:val="none"/>
        </w:rPr>
        <w:t>1</w:t>
      </w:r>
      <w:r>
        <w:rPr>
          <w:rFonts w:hint="eastAsia" w:hAnsi="宋体"/>
          <w:b/>
          <w:color w:val="auto"/>
          <w:highlight w:val="none"/>
          <w:lang w:val="en-US" w:eastAsia="zh-CN"/>
        </w:rPr>
        <w:t>2</w:t>
      </w:r>
      <w:r>
        <w:rPr>
          <w:rFonts w:hint="eastAsia" w:hAnsi="宋体"/>
          <w:b/>
          <w:color w:val="auto"/>
          <w:highlight w:val="none"/>
        </w:rPr>
        <w:t>.1无效磋商条款</w:t>
      </w:r>
    </w:p>
    <w:p w14:paraId="56C8F7B3">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磋商响应文件如有下列情况之一，在评审中按照无效磋商处理：</w:t>
      </w:r>
    </w:p>
    <w:p w14:paraId="21E843FB">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应交未交磋商保证金的；</w:t>
      </w:r>
    </w:p>
    <w:p w14:paraId="670D1510">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未按照磋商文件规定要求密封、签署、盖章的；</w:t>
      </w:r>
    </w:p>
    <w:p w14:paraId="67F44E66">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auto"/>
          <w:sz w:val="21"/>
          <w:szCs w:val="21"/>
          <w:highlight w:val="none"/>
        </w:rPr>
        <w:t>不具备磋商文件中规定资格要求的；</w:t>
      </w:r>
    </w:p>
    <w:p w14:paraId="6B783A25">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lang w:eastAsia="zh-CN"/>
        </w:rPr>
        <w:t>）</w:t>
      </w:r>
      <w:r>
        <w:rPr>
          <w:rFonts w:hint="eastAsia"/>
          <w:color w:val="auto"/>
          <w:sz w:val="21"/>
          <w:szCs w:val="21"/>
          <w:highlight w:val="none"/>
        </w:rPr>
        <w:t>关联供应商参加同一合同项或分标下政府采购活动的：</w:t>
      </w:r>
    </w:p>
    <w:p w14:paraId="687F1737">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单位负责人为同一人或者存在直接控股、管理关系的不同的供应商，参加同一合同项或分标下的政府采购活动的。</w:t>
      </w:r>
    </w:p>
    <w:p w14:paraId="75281958">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不符合法律、法规的；</w:t>
      </w:r>
    </w:p>
    <w:p w14:paraId="78CC5F19">
      <w:pPr>
        <w:widowControl/>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（6）</w:t>
      </w:r>
      <w:r>
        <w:rPr>
          <w:rFonts w:hint="eastAsia"/>
          <w:color w:val="auto"/>
          <w:sz w:val="21"/>
          <w:szCs w:val="21"/>
          <w:highlight w:val="none"/>
        </w:rPr>
        <w:t>不符合磋商文件中规定的实质性要求并且在磋商规定的时间内无法说明和补充的。</w:t>
      </w:r>
    </w:p>
    <w:p w14:paraId="4210412D">
      <w:pPr>
        <w:pStyle w:val="13"/>
        <w:adjustRightInd w:val="0"/>
        <w:snapToGrid w:val="0"/>
        <w:spacing w:line="360" w:lineRule="auto"/>
        <w:ind w:firstLine="442" w:firstLineChars="200"/>
        <w:rPr>
          <w:rFonts w:hAnsi="宋体"/>
          <w:b/>
          <w:color w:val="auto"/>
          <w:highlight w:val="none"/>
        </w:rPr>
      </w:pPr>
      <w:r>
        <w:rPr>
          <w:rFonts w:hint="eastAsia" w:hAnsi="宋体"/>
          <w:b/>
          <w:color w:val="auto"/>
          <w:highlight w:val="none"/>
        </w:rPr>
        <w:t>1</w:t>
      </w:r>
      <w:r>
        <w:rPr>
          <w:rFonts w:hint="eastAsia" w:hAnsi="宋体"/>
          <w:b/>
          <w:color w:val="auto"/>
          <w:highlight w:val="none"/>
          <w:lang w:val="en-US" w:eastAsia="zh-CN"/>
        </w:rPr>
        <w:t>2</w:t>
      </w:r>
      <w:r>
        <w:rPr>
          <w:rFonts w:hint="eastAsia" w:hAnsi="宋体"/>
          <w:b/>
          <w:color w:val="auto"/>
          <w:highlight w:val="none"/>
        </w:rPr>
        <w:t>.2相互串通无效条款</w:t>
      </w:r>
    </w:p>
    <w:p w14:paraId="5AF01895">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供应商有以下情形之一的，视为相互串通，磋商响应文件作无效处理：</w:t>
      </w:r>
    </w:p>
    <w:p w14:paraId="7D81F00B">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（1）不同供应商的磋商响应文件由同一单位或者个人编制；或不同供应商报名的IP地址一致的;</w:t>
      </w:r>
    </w:p>
    <w:p w14:paraId="5C2A9BDD">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（2）不同供应商委托同一单位或者个人办理竞标事宜;</w:t>
      </w:r>
    </w:p>
    <w:p w14:paraId="7ADC174F">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（3）不同的供应商的磋商响应文件载明的项目管理员为同一个人;</w:t>
      </w:r>
    </w:p>
    <w:p w14:paraId="676AB801">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（4）不同供应商的磋商响应文件异常一致或最终报价呈规律性差异;</w:t>
      </w:r>
    </w:p>
    <w:p w14:paraId="484A28D2">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（5）不同供应商的磋商响应文件相互混装;</w:t>
      </w:r>
    </w:p>
    <w:p w14:paraId="4EBA7403">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（6）不同供应商的磋商保证金从同一单位或者个人账户转出。</w:t>
      </w:r>
    </w:p>
    <w:p w14:paraId="34B1D9D7">
      <w:pPr>
        <w:pStyle w:val="13"/>
        <w:adjustRightInd w:val="0"/>
        <w:snapToGrid w:val="0"/>
        <w:spacing w:line="360" w:lineRule="auto"/>
        <w:ind w:firstLine="442" w:firstLineChars="200"/>
        <w:rPr>
          <w:rFonts w:hAnsi="宋体"/>
          <w:b/>
          <w:color w:val="auto"/>
          <w:highlight w:val="none"/>
        </w:rPr>
      </w:pPr>
      <w:r>
        <w:rPr>
          <w:rFonts w:hint="eastAsia" w:hAnsi="宋体"/>
          <w:b/>
          <w:color w:val="auto"/>
          <w:highlight w:val="none"/>
        </w:rPr>
        <w:t>1</w:t>
      </w:r>
      <w:r>
        <w:rPr>
          <w:rFonts w:hint="eastAsia" w:hAnsi="宋体"/>
          <w:b/>
          <w:color w:val="auto"/>
          <w:highlight w:val="none"/>
          <w:lang w:val="en-US" w:eastAsia="zh-CN"/>
        </w:rPr>
        <w:t>2</w:t>
      </w:r>
      <w:r>
        <w:rPr>
          <w:rFonts w:hint="eastAsia" w:hAnsi="宋体"/>
          <w:b/>
          <w:color w:val="auto"/>
          <w:highlight w:val="none"/>
        </w:rPr>
        <w:t>.3废止条款</w:t>
      </w:r>
    </w:p>
    <w:p w14:paraId="3535157C">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磋商采购项目出现下列情形之一的，磋商予以废止：</w:t>
      </w:r>
    </w:p>
    <w:p w14:paraId="1B4CCE98">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（1）参加磋商的供应商少于3家的；</w:t>
      </w:r>
    </w:p>
    <w:p w14:paraId="5C4ECA2D">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2</w:t>
      </w:r>
      <w:r>
        <w:rPr>
          <w:rFonts w:hint="eastAsia" w:hAnsi="宋体"/>
          <w:color w:val="auto"/>
          <w:sz w:val="21"/>
          <w:szCs w:val="21"/>
          <w:highlight w:val="none"/>
          <w:lang w:eastAsia="zh-CN"/>
        </w:rPr>
        <w:t>）</w:t>
      </w:r>
      <w:r>
        <w:rPr>
          <w:rFonts w:hint="eastAsia" w:hAnsi="宋体"/>
          <w:color w:val="auto"/>
          <w:sz w:val="21"/>
          <w:szCs w:val="21"/>
          <w:highlight w:val="none"/>
        </w:rPr>
        <w:t>出现影响采购公正的违法、违规行为的；</w:t>
      </w:r>
    </w:p>
    <w:p w14:paraId="0EAF7EA8">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（3）磋商供应商的最终报价均超过了采购预算，采购人不能支付的；</w:t>
      </w:r>
    </w:p>
    <w:p w14:paraId="33C0D7E1">
      <w:pPr>
        <w:pStyle w:val="13"/>
        <w:adjustRightInd w:val="0"/>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（4）因重大变故，采购任务取消的。</w:t>
      </w:r>
    </w:p>
    <w:p w14:paraId="4C2E9DB1">
      <w:pPr>
        <w:adjustRightInd w:val="0"/>
        <w:snapToGrid w:val="0"/>
        <w:spacing w:line="360" w:lineRule="auto"/>
        <w:ind w:firstLine="442" w:firstLineChars="200"/>
        <w:rPr>
          <w:b/>
          <w:color w:val="auto"/>
          <w:szCs w:val="21"/>
          <w:highlight w:val="none"/>
        </w:rPr>
      </w:pPr>
      <w:r>
        <w:rPr>
          <w:rFonts w:hint="eastAsia"/>
          <w:b/>
          <w:color w:val="auto"/>
          <w:szCs w:val="21"/>
          <w:highlight w:val="none"/>
        </w:rPr>
        <w:t>七、恶意串通情形和处理</w:t>
      </w:r>
    </w:p>
    <w:p w14:paraId="1B646D16">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供应商有下列情形之一的，属于恶意串通行为：</w:t>
      </w:r>
    </w:p>
    <w:p w14:paraId="3D0D0D68">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（1）供应商直接或者间接从采购人或者采购代理机构处获得其他供应商的相关信息并修改其响应文件;</w:t>
      </w:r>
    </w:p>
    <w:p w14:paraId="71EC2C5C">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（2）供应商按照采购人或者采购代理机构的授意撤换响应文件;</w:t>
      </w:r>
    </w:p>
    <w:p w14:paraId="0A2BD145">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（3）供应商之间协商报价、技术方案等响应文件的实质性内容;</w:t>
      </w:r>
    </w:p>
    <w:p w14:paraId="19DAEB1B">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（4）属于同一集团、协会、商会等组织成员的供应商按照该组织要求协同参加政府采购活动;</w:t>
      </w:r>
    </w:p>
    <w:p w14:paraId="0EB60FF2">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（5）供应商之间事先约定一致抬高或者压低报价,或者在招标项目中事先约定轮流以高价位或者低价位成交,或者事先约定由某一特定供应商成交,然后再参加磋商;</w:t>
      </w:r>
    </w:p>
    <w:p w14:paraId="5E44AB8D">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（6）供应商之间商定部分供应商放弃参加政府采购活动或者放弃成交;</w:t>
      </w:r>
    </w:p>
    <w:p w14:paraId="3BFDB0A2">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（7）供应商与采购人或者采购代理机构之间、供应商相互之间，为谋求特定供应商成交或者排斥其他供应商的其他串通行为。</w:t>
      </w:r>
    </w:p>
    <w:p w14:paraId="66B19C46">
      <w:pPr>
        <w:spacing w:line="360" w:lineRule="auto"/>
        <w:ind w:firstLine="420" w:firstLineChars="200"/>
        <w:rPr>
          <w:color w:val="auto"/>
          <w:sz w:val="21"/>
          <w:szCs w:val="21"/>
          <w:highlight w:val="none"/>
        </w:rPr>
      </w:pPr>
      <w:r>
        <w:rPr>
          <w:rFonts w:hint="eastAsia"/>
          <w:color w:val="auto"/>
          <w:sz w:val="21"/>
          <w:szCs w:val="21"/>
          <w:highlight w:val="none"/>
        </w:rPr>
        <w:t>供应商存在以上恶意串通情形的，根据《中华人民共和国政府采购法》第七十二条及《中华人民共和国政府采购法实施条例》第七十四条规定进行处理。</w:t>
      </w:r>
    </w:p>
    <w:p w14:paraId="12C42622">
      <w:pPr>
        <w:adjustRightInd w:val="0"/>
        <w:snapToGrid w:val="0"/>
        <w:spacing w:line="360" w:lineRule="auto"/>
        <w:ind w:firstLine="442" w:firstLineChars="200"/>
        <w:rPr>
          <w:b/>
          <w:color w:val="auto"/>
          <w:szCs w:val="21"/>
          <w:highlight w:val="none"/>
        </w:rPr>
      </w:pPr>
      <w:r>
        <w:rPr>
          <w:rFonts w:hint="eastAsia"/>
          <w:b/>
          <w:color w:val="auto"/>
          <w:szCs w:val="21"/>
          <w:highlight w:val="none"/>
        </w:rPr>
        <w:t>八、确定成交供应商办法</w:t>
      </w:r>
    </w:p>
    <w:p w14:paraId="72D2CF8D">
      <w:pPr>
        <w:widowControl/>
        <w:adjustRightInd w:val="0"/>
        <w:snapToGrid w:val="0"/>
        <w:spacing w:line="360" w:lineRule="auto"/>
        <w:ind w:firstLine="420" w:firstLineChars="200"/>
        <w:rPr>
          <w:color w:val="auto"/>
          <w:sz w:val="21"/>
          <w:szCs w:val="21"/>
          <w:highlight w:val="none"/>
        </w:rPr>
      </w:pPr>
      <w:r>
        <w:rPr>
          <w:color w:val="auto"/>
          <w:sz w:val="21"/>
          <w:szCs w:val="21"/>
          <w:highlight w:val="none"/>
        </w:rPr>
        <w:t>1</w:t>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1</w:t>
      </w:r>
      <w:r>
        <w:rPr>
          <w:color w:val="auto"/>
          <w:sz w:val="21"/>
          <w:szCs w:val="21"/>
          <w:highlight w:val="none"/>
        </w:rPr>
        <w:t>根据以下原则确定成交供应商：</w:t>
      </w:r>
    </w:p>
    <w:p w14:paraId="5AC2F0AE">
      <w:pPr>
        <w:pStyle w:val="13"/>
        <w:adjustRightInd w:val="0"/>
        <w:snapToGrid w:val="0"/>
        <w:spacing w:line="360" w:lineRule="auto"/>
        <w:ind w:firstLine="420" w:firstLineChars="200"/>
        <w:rPr>
          <w:rFonts w:hAnsi="宋体" w:cs="宋体"/>
          <w:color w:val="auto"/>
          <w:sz w:val="21"/>
          <w:szCs w:val="21"/>
          <w:highlight w:val="none"/>
        </w:rPr>
      </w:pPr>
      <w:r>
        <w:rPr>
          <w:rFonts w:hAnsi="宋体" w:cs="宋体"/>
          <w:color w:val="auto"/>
          <w:sz w:val="21"/>
          <w:szCs w:val="21"/>
          <w:highlight w:val="none"/>
        </w:rPr>
        <w:t>1</w:t>
      </w:r>
      <w:r>
        <w:rPr>
          <w:rFonts w:hint="eastAsia" w:hAnsi="宋体" w:cs="宋体"/>
          <w:color w:val="auto"/>
          <w:sz w:val="21"/>
          <w:szCs w:val="21"/>
          <w:highlight w:val="none"/>
        </w:rPr>
        <w:t>3</w:t>
      </w:r>
      <w:r>
        <w:rPr>
          <w:rFonts w:hAnsi="宋体" w:cs="宋体"/>
          <w:color w:val="auto"/>
          <w:sz w:val="21"/>
          <w:szCs w:val="21"/>
          <w:highlight w:val="none"/>
        </w:rPr>
        <w:t>.</w:t>
      </w:r>
      <w:r>
        <w:rPr>
          <w:rFonts w:hint="eastAsia" w:hAnsi="宋体" w:cs="宋体"/>
          <w:color w:val="auto"/>
          <w:sz w:val="21"/>
          <w:szCs w:val="21"/>
          <w:highlight w:val="none"/>
        </w:rPr>
        <w:t>2响应文件满足磋商文件全部实质性要求且按评审因素的量化指标评审得分最高的供应商为</w:t>
      </w:r>
      <w:r>
        <w:rPr>
          <w:rFonts w:hAnsi="宋体" w:cs="宋体"/>
          <w:color w:val="auto"/>
          <w:sz w:val="21"/>
          <w:szCs w:val="21"/>
          <w:highlight w:val="none"/>
        </w:rPr>
        <w:t>成</w:t>
      </w:r>
      <w:r>
        <w:rPr>
          <w:rFonts w:hint="eastAsia" w:hAnsi="宋体" w:cs="宋体"/>
          <w:color w:val="auto"/>
          <w:sz w:val="21"/>
          <w:szCs w:val="21"/>
          <w:highlight w:val="none"/>
        </w:rPr>
        <w:t>交</w:t>
      </w:r>
      <w:r>
        <w:rPr>
          <w:rFonts w:hAnsi="宋体" w:cs="宋体"/>
          <w:color w:val="auto"/>
          <w:sz w:val="21"/>
          <w:szCs w:val="21"/>
          <w:highlight w:val="none"/>
        </w:rPr>
        <w:t>供应商</w:t>
      </w:r>
      <w:r>
        <w:rPr>
          <w:rFonts w:hint="eastAsia" w:hAnsi="宋体" w:cs="宋体"/>
          <w:color w:val="auto"/>
          <w:sz w:val="21"/>
          <w:szCs w:val="21"/>
          <w:highlight w:val="none"/>
        </w:rPr>
        <w:t>。</w:t>
      </w:r>
    </w:p>
    <w:p w14:paraId="5D27E24A">
      <w:pPr>
        <w:pStyle w:val="13"/>
        <w:adjustRightInd w:val="0"/>
        <w:snapToGrid w:val="0"/>
        <w:spacing w:line="360" w:lineRule="auto"/>
        <w:ind w:firstLine="442" w:firstLineChars="200"/>
        <w:rPr>
          <w:rFonts w:hAnsi="宋体"/>
          <w:b/>
          <w:color w:val="auto"/>
          <w:highlight w:val="none"/>
        </w:rPr>
      </w:pPr>
      <w:r>
        <w:rPr>
          <w:rFonts w:hint="eastAsia" w:hAnsi="宋体"/>
          <w:b/>
          <w:color w:val="auto"/>
          <w:highlight w:val="none"/>
        </w:rPr>
        <w:t>九、成交结果公告</w:t>
      </w:r>
    </w:p>
    <w:p w14:paraId="4E47BBF7">
      <w:pPr>
        <w:pStyle w:val="13"/>
        <w:adjustRightInd w:val="0"/>
        <w:snapToGrid w:val="0"/>
        <w:spacing w:line="360" w:lineRule="auto"/>
        <w:ind w:left="105" w:firstLine="420" w:firstLineChars="200"/>
        <w:rPr>
          <w:rFonts w:hAnsi="宋体" w:cs="宋体"/>
          <w:color w:val="auto"/>
          <w:sz w:val="21"/>
          <w:szCs w:val="21"/>
          <w:highlight w:val="none"/>
        </w:rPr>
      </w:pPr>
      <w:r>
        <w:rPr>
          <w:rFonts w:hint="eastAsia" w:hAnsi="宋体"/>
          <w:color w:val="auto"/>
          <w:sz w:val="21"/>
          <w:szCs w:val="21"/>
          <w:highlight w:val="none"/>
        </w:rPr>
        <w:t>14.1</w:t>
      </w:r>
      <w:r>
        <w:rPr>
          <w:rFonts w:hint="eastAsia" w:hAnsi="宋体" w:cs="宋体"/>
          <w:color w:val="auto"/>
          <w:sz w:val="21"/>
          <w:szCs w:val="21"/>
          <w:highlight w:val="none"/>
          <w:lang w:eastAsia="zh-CN"/>
        </w:rPr>
        <w:t>本公司</w:t>
      </w:r>
      <w:r>
        <w:rPr>
          <w:rFonts w:hint="eastAsia" w:hAnsi="宋体" w:cs="宋体"/>
          <w:color w:val="auto"/>
          <w:sz w:val="21"/>
          <w:szCs w:val="21"/>
          <w:highlight w:val="none"/>
        </w:rPr>
        <w:t>在评审结束后二个工作日内将磋商评审报告送采购人确认，成交供应商确定后二个工作日内，成交结果公告将在</w:t>
      </w:r>
      <w:r>
        <w:rPr>
          <w:rFonts w:hint="eastAsia" w:hAnsi="宋体" w:cs="宋体"/>
          <w:color w:val="auto"/>
          <w:sz w:val="21"/>
          <w:szCs w:val="21"/>
          <w:highlight w:val="none"/>
          <w:lang w:val="en-US" w:eastAsia="zh-CN"/>
        </w:rPr>
        <w:t>中国采购与招标网</w:t>
      </w:r>
      <w:r>
        <w:rPr>
          <w:rFonts w:hint="eastAsia" w:hAnsi="宋体" w:cs="宋体"/>
          <w:color w:val="auto"/>
          <w:sz w:val="21"/>
          <w:szCs w:val="21"/>
          <w:highlight w:val="none"/>
          <w:lang w:val="en-US" w:eastAsia="zh-CN"/>
        </w:rPr>
        <w:fldChar w:fldCharType="begin"/>
      </w:r>
      <w:r>
        <w:rPr>
          <w:rFonts w:hint="eastAsia" w:hAnsi="宋体" w:cs="宋体"/>
          <w:color w:val="auto"/>
          <w:sz w:val="21"/>
          <w:szCs w:val="21"/>
          <w:highlight w:val="none"/>
          <w:lang w:val="en-US" w:eastAsia="zh-CN"/>
        </w:rPr>
        <w:instrText xml:space="preserve"> HYPERLINK "http://www.chinabidding.com.cn/" </w:instrText>
      </w:r>
      <w:r>
        <w:rPr>
          <w:rFonts w:hint="eastAsia" w:hAnsi="宋体" w:cs="宋体"/>
          <w:color w:val="auto"/>
          <w:sz w:val="21"/>
          <w:szCs w:val="21"/>
          <w:highlight w:val="none"/>
          <w:lang w:val="en-US" w:eastAsia="zh-CN"/>
        </w:rPr>
        <w:fldChar w:fldCharType="separate"/>
      </w:r>
      <w:r>
        <w:rPr>
          <w:rFonts w:hint="eastAsia" w:hAnsi="宋体" w:cs="宋体"/>
          <w:color w:val="auto"/>
          <w:sz w:val="21"/>
          <w:szCs w:val="21"/>
          <w:highlight w:val="none"/>
          <w:lang w:val="en-US" w:eastAsia="zh-CN"/>
        </w:rPr>
        <w:t>www.chinabidding.com.cn</w:t>
      </w:r>
      <w:r>
        <w:rPr>
          <w:rFonts w:hint="eastAsia" w:hAnsi="宋体" w:cs="宋体"/>
          <w:color w:val="auto"/>
          <w:sz w:val="21"/>
          <w:szCs w:val="21"/>
          <w:highlight w:val="none"/>
          <w:lang w:val="en-US" w:eastAsia="zh-CN"/>
        </w:rPr>
        <w:fldChar w:fldCharType="end"/>
      </w:r>
      <w:r>
        <w:rPr>
          <w:rFonts w:hint="eastAsia" w:hAnsi="宋体" w:cs="宋体"/>
          <w:color w:val="auto"/>
          <w:sz w:val="21"/>
          <w:szCs w:val="21"/>
          <w:highlight w:val="none"/>
          <w:lang w:val="en-US" w:eastAsia="zh-CN"/>
        </w:rPr>
        <w:t>、</w:t>
      </w:r>
      <w:r>
        <w:rPr>
          <w:rFonts w:hint="eastAsia" w:ascii="宋体" w:hAnsi="宋体" w:eastAsia="宋体" w:cs="宋体"/>
          <w:b w:val="0"/>
          <w:bCs w:val="0"/>
          <w:color w:val="auto"/>
          <w:kern w:val="2"/>
          <w:sz w:val="21"/>
          <w:szCs w:val="21"/>
          <w:lang w:val="en-US" w:eastAsia="zh-CN"/>
        </w:rPr>
        <w:t>广西瑞真工程造价咨询有限责任公司http://www.gxruizhen.com/</w:t>
      </w:r>
      <w:r>
        <w:rPr>
          <w:rFonts w:hint="eastAsia" w:hAnsi="宋体" w:cs="宋体"/>
          <w:color w:val="auto"/>
          <w:sz w:val="21"/>
          <w:szCs w:val="21"/>
          <w:highlight w:val="none"/>
        </w:rPr>
        <w:t>上发布，同时向成交供应商发出成交通知书。</w:t>
      </w:r>
    </w:p>
    <w:p w14:paraId="7B6BFBD2">
      <w:pPr>
        <w:pStyle w:val="13"/>
        <w:adjustRightInd w:val="0"/>
        <w:snapToGrid w:val="0"/>
        <w:spacing w:line="360" w:lineRule="auto"/>
        <w:ind w:left="105" w:firstLine="420" w:firstLineChars="200"/>
        <w:rPr>
          <w:rFonts w:hAnsi="宋体"/>
          <w:bCs/>
          <w:color w:val="auto"/>
          <w:sz w:val="21"/>
          <w:szCs w:val="21"/>
          <w:highlight w:val="none"/>
        </w:rPr>
      </w:pPr>
      <w:r>
        <w:rPr>
          <w:rFonts w:hint="eastAsia" w:hAnsi="宋体"/>
          <w:color w:val="auto"/>
          <w:sz w:val="21"/>
          <w:szCs w:val="21"/>
          <w:highlight w:val="none"/>
        </w:rPr>
        <w:t>14.2供应商</w:t>
      </w:r>
      <w:r>
        <w:rPr>
          <w:rFonts w:hint="eastAsia" w:hAnsi="宋体" w:cs="宋体"/>
          <w:color w:val="auto"/>
          <w:sz w:val="21"/>
          <w:szCs w:val="21"/>
          <w:highlight w:val="none"/>
        </w:rPr>
        <w:t>认为成交结果使自己的权益受到损害的</w:t>
      </w:r>
      <w:r>
        <w:rPr>
          <w:rFonts w:hint="eastAsia" w:hAnsi="宋体"/>
          <w:color w:val="auto"/>
          <w:sz w:val="21"/>
          <w:szCs w:val="21"/>
          <w:highlight w:val="none"/>
        </w:rPr>
        <w:t>，</w:t>
      </w:r>
      <w:r>
        <w:rPr>
          <w:rFonts w:hint="eastAsia" w:hAnsi="宋体" w:cs="宋体"/>
          <w:color w:val="auto"/>
          <w:sz w:val="21"/>
          <w:szCs w:val="21"/>
          <w:highlight w:val="none"/>
        </w:rPr>
        <w:t>可以在成交结果公告期限届满之日起</w:t>
      </w:r>
      <w:r>
        <w:rPr>
          <w:rFonts w:hint="eastAsia" w:hAnsi="宋体"/>
          <w:bCs/>
          <w:color w:val="auto"/>
          <w:sz w:val="21"/>
          <w:szCs w:val="21"/>
          <w:highlight w:val="none"/>
        </w:rPr>
        <w:t>七个工作日内以书面形式向</w:t>
      </w:r>
      <w:r>
        <w:rPr>
          <w:rFonts w:hint="eastAsia" w:hAnsi="宋体"/>
          <w:bCs/>
          <w:color w:val="auto"/>
          <w:sz w:val="21"/>
          <w:szCs w:val="21"/>
          <w:highlight w:val="none"/>
          <w:lang w:eastAsia="zh-CN"/>
        </w:rPr>
        <w:t>本公司</w:t>
      </w:r>
      <w:r>
        <w:rPr>
          <w:rFonts w:hint="eastAsia" w:hAnsi="宋体"/>
          <w:bCs/>
          <w:color w:val="auto"/>
          <w:sz w:val="21"/>
          <w:szCs w:val="21"/>
          <w:highlight w:val="none"/>
        </w:rPr>
        <w:t>提出质疑。</w:t>
      </w:r>
      <w:r>
        <w:rPr>
          <w:rFonts w:hint="eastAsia" w:hAnsi="宋体"/>
          <w:bCs/>
          <w:color w:val="auto"/>
          <w:sz w:val="21"/>
          <w:szCs w:val="21"/>
          <w:highlight w:val="none"/>
          <w:lang w:eastAsia="zh-CN"/>
        </w:rPr>
        <w:t>本公司</w:t>
      </w:r>
      <w:r>
        <w:rPr>
          <w:rFonts w:hint="eastAsia" w:hAnsi="宋体"/>
          <w:bCs/>
          <w:color w:val="auto"/>
          <w:sz w:val="21"/>
          <w:szCs w:val="21"/>
          <w:highlight w:val="none"/>
        </w:rPr>
        <w:t>将在收到</w:t>
      </w:r>
      <w:r>
        <w:rPr>
          <w:rFonts w:hint="eastAsia" w:hAnsi="宋体"/>
          <w:color w:val="auto"/>
          <w:sz w:val="21"/>
          <w:szCs w:val="21"/>
          <w:highlight w:val="none"/>
        </w:rPr>
        <w:t>供应商</w:t>
      </w:r>
      <w:r>
        <w:rPr>
          <w:rFonts w:hint="eastAsia" w:hAnsi="宋体"/>
          <w:bCs/>
          <w:color w:val="auto"/>
          <w:sz w:val="21"/>
          <w:szCs w:val="21"/>
          <w:highlight w:val="none"/>
        </w:rPr>
        <w:t>的书面质疑后七个工作日内做出答复，但答复的内容不得涉及商业秘密。</w:t>
      </w:r>
    </w:p>
    <w:p w14:paraId="50F7EB45">
      <w:pPr>
        <w:pStyle w:val="13"/>
        <w:adjustRightInd w:val="0"/>
        <w:snapToGrid w:val="0"/>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质疑联系部门及电话为：广西瑞真工程造价咨询有限责任公司         0779-3219191。</w:t>
      </w:r>
    </w:p>
    <w:p w14:paraId="1C857530">
      <w:pPr>
        <w:pStyle w:val="13"/>
        <w:spacing w:line="360" w:lineRule="auto"/>
        <w:ind w:firstLine="442" w:firstLineChars="200"/>
        <w:rPr>
          <w:rFonts w:hAnsi="宋体"/>
          <w:b/>
          <w:color w:val="auto"/>
          <w:highlight w:val="none"/>
        </w:rPr>
      </w:pPr>
      <w:r>
        <w:rPr>
          <w:rFonts w:hint="eastAsia" w:hAnsi="宋体"/>
          <w:b/>
          <w:color w:val="auto"/>
          <w:highlight w:val="none"/>
        </w:rPr>
        <w:t>十、履约保证金（注：质量保证金由采购人确定由其自行收取或委托采购代理机构收取）</w:t>
      </w:r>
    </w:p>
    <w:p w14:paraId="4DF989A4">
      <w:pPr>
        <w:spacing w:line="360" w:lineRule="auto"/>
        <w:ind w:firstLine="420" w:firstLineChars="200"/>
        <w:rPr>
          <w:color w:val="auto"/>
          <w:sz w:val="21"/>
          <w:szCs w:val="21"/>
          <w:highlight w:val="none"/>
        </w:rPr>
      </w:pPr>
      <w:r>
        <w:rPr>
          <w:rFonts w:hint="eastAsia"/>
          <w:color w:val="auto"/>
          <w:sz w:val="21"/>
          <w:szCs w:val="21"/>
          <w:highlight w:val="none"/>
          <w:lang w:val="en-US" w:eastAsia="zh-CN"/>
        </w:rPr>
        <w:t>15.1</w:t>
      </w:r>
      <w:r>
        <w:rPr>
          <w:rFonts w:hint="eastAsia"/>
          <w:color w:val="auto"/>
          <w:sz w:val="21"/>
          <w:szCs w:val="21"/>
          <w:highlight w:val="none"/>
        </w:rPr>
        <w:t>无要求。</w:t>
      </w:r>
    </w:p>
    <w:p w14:paraId="105ADEF2">
      <w:pPr>
        <w:adjustRightInd w:val="0"/>
        <w:snapToGrid w:val="0"/>
        <w:spacing w:line="360" w:lineRule="auto"/>
        <w:ind w:left="440" w:leftChars="200"/>
        <w:rPr>
          <w:b/>
          <w:color w:val="auto"/>
          <w:szCs w:val="21"/>
          <w:highlight w:val="none"/>
        </w:rPr>
      </w:pPr>
      <w:r>
        <w:rPr>
          <w:rFonts w:hint="eastAsia"/>
          <w:b/>
          <w:color w:val="auto"/>
          <w:szCs w:val="21"/>
          <w:highlight w:val="none"/>
        </w:rPr>
        <w:t>十一、签订合同</w:t>
      </w:r>
    </w:p>
    <w:p w14:paraId="4CEECB07">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16.1成交供应商自成交通知书发出之日起</w:t>
      </w:r>
      <w:r>
        <w:rPr>
          <w:rFonts w:hint="eastAsia"/>
          <w:color w:val="auto"/>
          <w:sz w:val="21"/>
          <w:szCs w:val="21"/>
          <w:highlight w:val="none"/>
          <w:lang w:val="en-US" w:eastAsia="zh-CN"/>
        </w:rPr>
        <w:t>30</w:t>
      </w:r>
      <w:r>
        <w:rPr>
          <w:rFonts w:hint="eastAsia"/>
          <w:color w:val="auto"/>
          <w:sz w:val="21"/>
          <w:szCs w:val="21"/>
          <w:highlight w:val="none"/>
          <w:lang w:val="en-US"/>
        </w:rPr>
        <w:t>个工作日内</w:t>
      </w:r>
      <w:r>
        <w:rPr>
          <w:rFonts w:hint="eastAsia"/>
          <w:color w:val="auto"/>
          <w:sz w:val="21"/>
          <w:szCs w:val="21"/>
          <w:highlight w:val="none"/>
        </w:rPr>
        <w:t>与采购人签订合同。</w:t>
      </w:r>
    </w:p>
    <w:p w14:paraId="0C5DA41D">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16.2成交供应商拒绝签订政府采购合同的，采购人可以根据磋商评审报告确定成交供应商之后排名第一的成交候选供应商作为成交供应商并签订政府采购合同，也可以重新开展采购活动。拒绝签订政府采购合同的成交供应商不得参加对该项目重新开展的采购活动。</w:t>
      </w:r>
    </w:p>
    <w:p w14:paraId="312C831E">
      <w:pPr>
        <w:adjustRightInd w:val="0"/>
        <w:snapToGrid w:val="0"/>
        <w:spacing w:line="360" w:lineRule="auto"/>
        <w:ind w:firstLine="420" w:firstLineChars="200"/>
        <w:rPr>
          <w:color w:val="auto"/>
          <w:szCs w:val="21"/>
          <w:highlight w:val="none"/>
        </w:rPr>
      </w:pPr>
      <w:r>
        <w:rPr>
          <w:rFonts w:hint="eastAsia"/>
          <w:color w:val="auto"/>
          <w:sz w:val="21"/>
          <w:szCs w:val="21"/>
          <w:highlight w:val="none"/>
        </w:rPr>
        <w:t>16.3成交供应商拒绝签订政府采购合同的，其保证金将不予退还，并上缴国库，给采购人造成其损失的，还应当赔偿损失，并作为不良行为记录在案。</w:t>
      </w:r>
    </w:p>
    <w:p w14:paraId="752D55B5">
      <w:pPr>
        <w:adjustRightInd w:val="0"/>
        <w:snapToGrid w:val="0"/>
        <w:spacing w:line="360" w:lineRule="auto"/>
        <w:ind w:left="440" w:leftChars="200"/>
        <w:rPr>
          <w:b/>
          <w:color w:val="auto"/>
          <w:szCs w:val="21"/>
          <w:highlight w:val="none"/>
        </w:rPr>
      </w:pPr>
      <w:r>
        <w:rPr>
          <w:rFonts w:hint="eastAsia"/>
          <w:b/>
          <w:color w:val="auto"/>
          <w:szCs w:val="21"/>
          <w:highlight w:val="none"/>
        </w:rPr>
        <w:t>十二、适用法律</w:t>
      </w:r>
    </w:p>
    <w:p w14:paraId="1BABB49E">
      <w:pPr>
        <w:adjustRightInd w:val="0"/>
        <w:snapToGrid w:val="0"/>
        <w:spacing w:line="360" w:lineRule="auto"/>
        <w:ind w:left="440" w:leftChars="200"/>
        <w:rPr>
          <w:color w:val="auto"/>
          <w:szCs w:val="21"/>
          <w:highlight w:val="none"/>
        </w:rPr>
      </w:pPr>
      <w:r>
        <w:rPr>
          <w:rFonts w:hint="eastAsia"/>
          <w:color w:val="auto"/>
          <w:sz w:val="21"/>
          <w:szCs w:val="21"/>
          <w:highlight w:val="none"/>
        </w:rPr>
        <w:t>17.</w:t>
      </w:r>
      <w:r>
        <w:rPr>
          <w:rFonts w:hint="eastAsia"/>
          <w:color w:val="auto"/>
          <w:sz w:val="21"/>
          <w:szCs w:val="21"/>
          <w:highlight w:val="none"/>
          <w:lang w:val="en-US" w:eastAsia="zh-CN"/>
        </w:rPr>
        <w:t xml:space="preserve"> </w:t>
      </w:r>
      <w:r>
        <w:rPr>
          <w:rFonts w:hint="eastAsia"/>
          <w:color w:val="auto"/>
          <w:sz w:val="21"/>
          <w:szCs w:val="21"/>
          <w:highlight w:val="none"/>
        </w:rPr>
        <w:t>采购当事人的一切活动均适用于《中华人民共和国政府采购法》及相关规定。最终磋商结束后，磋商小组不得再与供应商进行任何形式的磋商。</w:t>
      </w:r>
    </w:p>
    <w:p w14:paraId="05502793">
      <w:pPr>
        <w:adjustRightInd w:val="0"/>
        <w:snapToGrid w:val="0"/>
        <w:spacing w:line="360" w:lineRule="auto"/>
        <w:ind w:left="440" w:leftChars="200"/>
        <w:rPr>
          <w:b/>
          <w:color w:val="auto"/>
          <w:szCs w:val="21"/>
          <w:highlight w:val="none"/>
        </w:rPr>
      </w:pPr>
      <w:r>
        <w:rPr>
          <w:rFonts w:hint="eastAsia"/>
          <w:b/>
          <w:color w:val="auto"/>
          <w:szCs w:val="21"/>
          <w:highlight w:val="none"/>
        </w:rPr>
        <w:t>十三、其他事项</w:t>
      </w:r>
    </w:p>
    <w:p w14:paraId="7E0D75D6">
      <w:pPr>
        <w:pStyle w:val="13"/>
        <w:adjustRightInd w:val="0"/>
        <w:snapToGrid w:val="0"/>
        <w:spacing w:line="360" w:lineRule="auto"/>
        <w:ind w:firstLine="404" w:firstLineChars="200"/>
        <w:rPr>
          <w:rFonts w:hint="eastAsia" w:ascii="宋体" w:hAnsi="宋体" w:eastAsia="宋体" w:cs="宋体"/>
          <w:color w:val="auto"/>
          <w:sz w:val="21"/>
          <w:szCs w:val="21"/>
          <w:highlight w:val="none"/>
          <w:lang w:val="en-US" w:eastAsia="zh-CN"/>
        </w:rPr>
      </w:pPr>
      <w:r>
        <w:rPr>
          <w:rFonts w:hint="eastAsia" w:hAnsi="宋体"/>
          <w:color w:val="auto"/>
          <w:spacing w:val="-4"/>
          <w:sz w:val="21"/>
          <w:szCs w:val="21"/>
          <w:highlight w:val="none"/>
        </w:rPr>
        <w:t>18.1</w:t>
      </w:r>
      <w:r>
        <w:rPr>
          <w:rFonts w:hint="eastAsia" w:ascii="宋体" w:hAnsi="宋体" w:eastAsia="宋体" w:cs="宋体"/>
          <w:color w:val="auto"/>
          <w:sz w:val="21"/>
          <w:szCs w:val="21"/>
          <w:highlight w:val="none"/>
        </w:rPr>
        <w:t>采购代理机构按规定向成交供应商收取招标代理服务费。</w:t>
      </w:r>
      <w:r>
        <w:rPr>
          <w:rFonts w:hint="eastAsia" w:hAnsi="宋体" w:cs="宋体"/>
          <w:color w:val="auto"/>
          <w:sz w:val="21"/>
          <w:szCs w:val="21"/>
          <w:highlight w:val="none"/>
          <w:lang w:eastAsia="zh-CN"/>
        </w:rPr>
        <w:t>领取中标通知书</w:t>
      </w:r>
      <w:r>
        <w:rPr>
          <w:rFonts w:hint="eastAsia" w:ascii="宋体" w:hAnsi="宋体" w:eastAsia="宋体" w:cs="宋体"/>
          <w:color w:val="auto"/>
          <w:sz w:val="21"/>
          <w:szCs w:val="21"/>
          <w:highlight w:val="none"/>
        </w:rPr>
        <w:t>前，成交供应商应向采购代理机构一次性付清招标代理服务费。代理服务收费标准，</w:t>
      </w:r>
      <w:r>
        <w:rPr>
          <w:rFonts w:hint="eastAsia" w:hAnsi="宋体" w:cs="宋体"/>
          <w:color w:val="auto"/>
          <w:sz w:val="21"/>
          <w:szCs w:val="21"/>
          <w:highlight w:val="none"/>
          <w:lang w:eastAsia="zh-CN"/>
        </w:rPr>
        <w:t>按</w:t>
      </w:r>
      <w:r>
        <w:rPr>
          <w:rFonts w:hint="eastAsia" w:ascii="宋体" w:hAnsi="宋体" w:eastAsia="宋体" w:cs="宋体"/>
          <w:color w:val="auto"/>
          <w:sz w:val="21"/>
          <w:szCs w:val="21"/>
          <w:highlight w:val="none"/>
          <w:lang w:eastAsia="zh-CN"/>
        </w:rPr>
        <w:t>照《国家发展改革委关于降低部分建设项目收费标准规范收费行为等有关问题的通知》(发改价格[2011]534号)和桂价费[2011] 55号文件的招标代理服务费收费标准</w:t>
      </w:r>
      <w:r>
        <w:rPr>
          <w:rFonts w:hint="eastAsia" w:ascii="宋体" w:hAnsi="宋体" w:eastAsia="宋体" w:cs="宋体"/>
          <w:color w:val="auto"/>
          <w:sz w:val="21"/>
          <w:szCs w:val="21"/>
          <w:highlight w:val="none"/>
        </w:rPr>
        <w:t>向中标人收取服务费</w:t>
      </w:r>
      <w:r>
        <w:rPr>
          <w:rFonts w:hint="eastAsia" w:ascii="宋体" w:hAnsi="宋体" w:eastAsia="宋体" w:cs="宋体"/>
          <w:color w:val="auto"/>
          <w:sz w:val="21"/>
          <w:szCs w:val="21"/>
          <w:highlight w:val="none"/>
          <w:lang w:eastAsia="zh-CN"/>
        </w:rPr>
        <w:t>。招标代理服务费不足</w:t>
      </w:r>
      <w:r>
        <w:rPr>
          <w:rFonts w:hint="eastAsia" w:ascii="宋体" w:hAnsi="宋体" w:eastAsia="宋体" w:cs="宋体"/>
          <w:color w:val="auto"/>
          <w:sz w:val="21"/>
          <w:szCs w:val="21"/>
          <w:highlight w:val="none"/>
          <w:lang w:val="en-US" w:eastAsia="zh-CN"/>
        </w:rPr>
        <w:t>3000元按3000元收取。</w:t>
      </w:r>
    </w:p>
    <w:p w14:paraId="4DD75AA7">
      <w:pPr>
        <w:pStyle w:val="13"/>
        <w:adjustRightInd w:val="0"/>
        <w:snapToGrid w:val="0"/>
        <w:spacing w:line="360" w:lineRule="auto"/>
        <w:ind w:firstLine="404" w:firstLineChars="200"/>
        <w:rPr>
          <w:rFonts w:hAnsi="宋体"/>
          <w:color w:val="auto"/>
          <w:spacing w:val="-4"/>
          <w:sz w:val="21"/>
          <w:szCs w:val="21"/>
          <w:highlight w:val="none"/>
        </w:rPr>
      </w:pPr>
      <w:r>
        <w:rPr>
          <w:rFonts w:hint="eastAsia" w:hAnsi="宋体"/>
          <w:color w:val="auto"/>
          <w:spacing w:val="-4"/>
          <w:sz w:val="21"/>
          <w:szCs w:val="21"/>
          <w:highlight w:val="none"/>
        </w:rPr>
        <w:t>18.</w:t>
      </w:r>
      <w:r>
        <w:rPr>
          <w:rFonts w:hint="eastAsia" w:hAnsi="宋体"/>
          <w:color w:val="auto"/>
          <w:spacing w:val="-4"/>
          <w:sz w:val="21"/>
          <w:szCs w:val="21"/>
          <w:highlight w:val="none"/>
          <w:lang w:val="en-US" w:eastAsia="zh-CN"/>
        </w:rPr>
        <w:t>2</w:t>
      </w:r>
      <w:r>
        <w:rPr>
          <w:rFonts w:hint="eastAsia" w:hAnsi="宋体"/>
          <w:color w:val="auto"/>
          <w:spacing w:val="-4"/>
          <w:sz w:val="21"/>
          <w:szCs w:val="21"/>
          <w:highlight w:val="none"/>
        </w:rPr>
        <w:t>有关事宜</w:t>
      </w:r>
    </w:p>
    <w:p w14:paraId="0EBA6F2C">
      <w:pPr>
        <w:pStyle w:val="13"/>
        <w:adjustRightInd w:val="0"/>
        <w:snapToGrid w:val="0"/>
        <w:spacing w:line="360" w:lineRule="auto"/>
        <w:ind w:firstLine="420" w:firstLineChars="200"/>
        <w:rPr>
          <w:rFonts w:hAnsi="宋体"/>
          <w:color w:val="auto"/>
          <w:spacing w:val="-4"/>
          <w:sz w:val="21"/>
          <w:szCs w:val="21"/>
          <w:highlight w:val="none"/>
        </w:rPr>
      </w:pPr>
      <w:r>
        <w:rPr>
          <w:rFonts w:hint="eastAsia" w:hAnsi="宋体"/>
          <w:color w:val="auto"/>
          <w:sz w:val="21"/>
          <w:szCs w:val="21"/>
          <w:highlight w:val="none"/>
        </w:rPr>
        <w:t>所</w:t>
      </w:r>
      <w:r>
        <w:rPr>
          <w:rFonts w:hint="eastAsia" w:hAnsi="宋体"/>
          <w:color w:val="auto"/>
          <w:spacing w:val="-4"/>
          <w:sz w:val="21"/>
          <w:szCs w:val="21"/>
          <w:highlight w:val="none"/>
        </w:rPr>
        <w:t>有与本竞争性磋商文件有关的函件请按下列通讯地址联系：</w:t>
      </w:r>
    </w:p>
    <w:p w14:paraId="21ECEC7E">
      <w:pPr>
        <w:pStyle w:val="13"/>
        <w:adjustRightInd w:val="0"/>
        <w:snapToGrid w:val="0"/>
        <w:spacing w:line="360" w:lineRule="auto"/>
        <w:ind w:firstLine="404" w:firstLineChars="200"/>
        <w:rPr>
          <w:rFonts w:hAnsi="宋体"/>
          <w:color w:val="auto"/>
          <w:spacing w:val="-4"/>
          <w:sz w:val="21"/>
          <w:szCs w:val="21"/>
          <w:highlight w:val="none"/>
        </w:rPr>
      </w:pPr>
      <w:r>
        <w:rPr>
          <w:rFonts w:hint="eastAsia" w:hAnsi="宋体"/>
          <w:color w:val="auto"/>
          <w:spacing w:val="-4"/>
          <w:sz w:val="21"/>
          <w:szCs w:val="21"/>
          <w:highlight w:val="none"/>
        </w:rPr>
        <w:t>采购代理机构名称：广西瑞真工程造价咨询有限责任公司</w:t>
      </w:r>
    </w:p>
    <w:p w14:paraId="1A6EE678">
      <w:pPr>
        <w:pStyle w:val="13"/>
        <w:adjustRightInd w:val="0"/>
        <w:snapToGrid w:val="0"/>
        <w:spacing w:line="360" w:lineRule="auto"/>
        <w:ind w:firstLine="404" w:firstLineChars="200"/>
        <w:rPr>
          <w:rFonts w:hAnsi="宋体"/>
          <w:color w:val="auto"/>
          <w:spacing w:val="-4"/>
          <w:sz w:val="21"/>
          <w:szCs w:val="21"/>
          <w:highlight w:val="none"/>
        </w:rPr>
      </w:pPr>
      <w:r>
        <w:rPr>
          <w:rFonts w:hint="eastAsia" w:hAnsi="宋体"/>
          <w:color w:val="auto"/>
          <w:spacing w:val="-4"/>
          <w:sz w:val="21"/>
          <w:szCs w:val="21"/>
          <w:highlight w:val="none"/>
        </w:rPr>
        <w:t>邮政编码：536000</w:t>
      </w:r>
    </w:p>
    <w:p w14:paraId="3C994640">
      <w:pPr>
        <w:pStyle w:val="13"/>
        <w:adjustRightInd w:val="0"/>
        <w:snapToGrid w:val="0"/>
        <w:spacing w:line="360" w:lineRule="auto"/>
        <w:ind w:firstLine="404" w:firstLineChars="200"/>
        <w:rPr>
          <w:rFonts w:hAnsi="宋体"/>
          <w:color w:val="auto"/>
          <w:spacing w:val="-4"/>
          <w:sz w:val="21"/>
          <w:szCs w:val="21"/>
          <w:highlight w:val="none"/>
        </w:rPr>
      </w:pPr>
      <w:r>
        <w:rPr>
          <w:rFonts w:hint="eastAsia" w:hAnsi="宋体"/>
          <w:color w:val="auto"/>
          <w:spacing w:val="-4"/>
          <w:sz w:val="21"/>
          <w:szCs w:val="21"/>
          <w:highlight w:val="none"/>
        </w:rPr>
        <w:t>通讯地址：北海市重庆路发展大厦A座701室</w:t>
      </w:r>
    </w:p>
    <w:p w14:paraId="1F3EB057">
      <w:pPr>
        <w:pStyle w:val="13"/>
        <w:adjustRightInd w:val="0"/>
        <w:snapToGrid w:val="0"/>
        <w:spacing w:line="360" w:lineRule="auto"/>
        <w:ind w:firstLine="404" w:firstLineChars="200"/>
        <w:rPr>
          <w:rFonts w:hAnsi="宋体"/>
          <w:color w:val="auto"/>
          <w:spacing w:val="-4"/>
          <w:sz w:val="21"/>
          <w:szCs w:val="21"/>
          <w:highlight w:val="none"/>
        </w:rPr>
      </w:pPr>
      <w:r>
        <w:rPr>
          <w:rFonts w:hint="eastAsia" w:hAnsi="宋体"/>
          <w:color w:val="auto"/>
          <w:spacing w:val="-4"/>
          <w:sz w:val="21"/>
          <w:szCs w:val="21"/>
          <w:highlight w:val="none"/>
        </w:rPr>
        <w:t xml:space="preserve">电    话：0779—3219191       </w:t>
      </w:r>
    </w:p>
    <w:p w14:paraId="12892917">
      <w:pPr>
        <w:pStyle w:val="13"/>
        <w:adjustRightInd w:val="0"/>
        <w:snapToGrid w:val="0"/>
        <w:spacing w:line="360" w:lineRule="auto"/>
        <w:ind w:firstLine="404" w:firstLineChars="200"/>
        <w:rPr>
          <w:rFonts w:hint="eastAsia" w:hAnsi="宋体"/>
          <w:color w:val="auto"/>
          <w:spacing w:val="-4"/>
          <w:sz w:val="21"/>
          <w:szCs w:val="21"/>
          <w:highlight w:val="none"/>
        </w:rPr>
      </w:pPr>
      <w:r>
        <w:rPr>
          <w:rFonts w:hint="eastAsia" w:hAnsi="宋体"/>
          <w:color w:val="auto"/>
          <w:spacing w:val="-4"/>
          <w:sz w:val="21"/>
          <w:szCs w:val="21"/>
          <w:highlight w:val="none"/>
        </w:rPr>
        <w:t>传    真：0779-3219191</w:t>
      </w:r>
    </w:p>
    <w:p w14:paraId="50242104">
      <w:pPr>
        <w:rPr>
          <w:rFonts w:hint="eastAsia"/>
          <w:color w:val="auto"/>
        </w:rPr>
      </w:pPr>
    </w:p>
    <w:p w14:paraId="6DE92728">
      <w:pPr>
        <w:pStyle w:val="3"/>
        <w:numPr>
          <w:ilvl w:val="0"/>
          <w:numId w:val="3"/>
        </w:numPr>
        <w:bidi w:val="0"/>
        <w:spacing w:line="480" w:lineRule="auto"/>
        <w:rPr>
          <w:rFonts w:hint="eastAsia" w:ascii="宋体" w:hAnsi="宋体" w:eastAsia="宋体" w:cs="宋体"/>
          <w:color w:val="auto"/>
          <w:sz w:val="30"/>
          <w:szCs w:val="30"/>
          <w:lang w:val="en-US"/>
        </w:rPr>
      </w:pPr>
      <w:bookmarkStart w:id="46" w:name="_Toc773"/>
      <w:bookmarkStart w:id="47" w:name="_Toc22286"/>
      <w:r>
        <w:rPr>
          <w:rFonts w:hint="eastAsia" w:ascii="宋体" w:hAnsi="宋体" w:eastAsia="宋体" w:cs="宋体"/>
          <w:color w:val="auto"/>
          <w:sz w:val="30"/>
          <w:szCs w:val="30"/>
          <w:lang w:val="en-US" w:eastAsia="zh-CN"/>
        </w:rPr>
        <w:t xml:space="preserve"> 服务</w:t>
      </w:r>
      <w:r>
        <w:rPr>
          <w:rFonts w:hint="eastAsia" w:ascii="宋体" w:hAnsi="宋体" w:eastAsia="宋体" w:cs="宋体"/>
          <w:color w:val="auto"/>
          <w:sz w:val="30"/>
          <w:szCs w:val="30"/>
          <w:lang w:val="en-US"/>
        </w:rPr>
        <w:t>采购需求</w:t>
      </w:r>
      <w:bookmarkEnd w:id="46"/>
    </w:p>
    <w:p w14:paraId="7DB44841">
      <w:pPr>
        <w:numPr>
          <w:ilvl w:val="-1"/>
          <w:numId w:val="0"/>
        </w:numPr>
        <w:rPr>
          <w:rFonts w:hint="eastAsia"/>
          <w:color w:val="auto"/>
          <w:lang w:val="en-US"/>
        </w:rPr>
      </w:pPr>
      <w:r>
        <w:rPr>
          <w:rFonts w:hint="eastAsia" w:ascii="宋体" w:hAnsi="宋体"/>
          <w:b/>
          <w:color w:val="auto"/>
          <w:sz w:val="24"/>
        </w:rPr>
        <w:t>说明：本“服务采购需求”中所有条款均为实质性要求，磋商时，必须满足，若有任意一项负偏离响应文件作无效处理。</w:t>
      </w:r>
    </w:p>
    <w:p w14:paraId="64BD8D4E">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一、项目编号：</w:t>
      </w:r>
      <w:r>
        <w:rPr>
          <w:rFonts w:hint="eastAsia"/>
          <w:color w:val="auto"/>
          <w:sz w:val="21"/>
          <w:szCs w:val="21"/>
          <w:highlight w:val="none"/>
          <w:lang w:eastAsia="zh-CN"/>
        </w:rPr>
        <w:t>GXRZBH-2025-008</w:t>
      </w:r>
    </w:p>
    <w:p w14:paraId="60F14920">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二、项目类别：服务</w:t>
      </w:r>
      <w:r>
        <w:rPr>
          <w:rFonts w:hint="eastAsia" w:ascii="宋体" w:hAnsi="宋体" w:eastAsia="宋体" w:cs="宋体"/>
          <w:color w:val="auto"/>
          <w:sz w:val="21"/>
          <w:szCs w:val="21"/>
          <w:highlight w:val="none"/>
          <w:lang w:eastAsia="zh-CN"/>
        </w:rPr>
        <w:t>类</w:t>
      </w:r>
    </w:p>
    <w:p w14:paraId="460D3318">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三、采购控制价（人民币）：</w:t>
      </w:r>
      <w:r>
        <w:rPr>
          <w:rFonts w:hint="eastAsia"/>
          <w:color w:val="auto"/>
          <w:sz w:val="21"/>
          <w:szCs w:val="21"/>
          <w:highlight w:val="none"/>
          <w:lang w:val="en-US" w:eastAsia="zh-CN"/>
        </w:rPr>
        <w:t>贰拾玖万元整（¥290000.00元）</w:t>
      </w:r>
    </w:p>
    <w:p w14:paraId="1C44EF1A">
      <w:pP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四</w:t>
      </w:r>
      <w:r>
        <w:rPr>
          <w:rFonts w:hint="eastAsia" w:ascii="宋体" w:hAnsi="宋体" w:eastAsia="宋体" w:cs="宋体"/>
          <w:color w:val="auto"/>
          <w:sz w:val="21"/>
          <w:szCs w:val="21"/>
          <w:highlight w:val="none"/>
        </w:rPr>
        <w:t>、采购需求一览表</w:t>
      </w:r>
    </w:p>
    <w:tbl>
      <w:tblPr>
        <w:tblStyle w:val="26"/>
        <w:tblW w:w="9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428"/>
        <w:gridCol w:w="429"/>
        <w:gridCol w:w="965"/>
        <w:gridCol w:w="6724"/>
      </w:tblGrid>
      <w:tr w14:paraId="20CE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161" w:type="dxa"/>
            <w:vAlign w:val="center"/>
          </w:tcPr>
          <w:p w14:paraId="49B4C02E">
            <w:pPr>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w:t>
            </w:r>
          </w:p>
          <w:p w14:paraId="76205026">
            <w:pPr>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vertAlign w:val="baseline"/>
                <w:lang w:eastAsia="zh-CN"/>
              </w:rPr>
            </w:pPr>
            <w:r>
              <w:rPr>
                <w:rFonts w:hint="eastAsia" w:cs="宋体"/>
                <w:b/>
                <w:bCs/>
                <w:color w:val="auto"/>
                <w:sz w:val="21"/>
                <w:szCs w:val="21"/>
                <w:highlight w:val="none"/>
                <w:lang w:val="en-US" w:eastAsia="zh-CN"/>
              </w:rPr>
              <w:t>名称</w:t>
            </w:r>
          </w:p>
        </w:tc>
        <w:tc>
          <w:tcPr>
            <w:tcW w:w="435" w:type="dxa"/>
            <w:vAlign w:val="center"/>
          </w:tcPr>
          <w:p w14:paraId="54899749">
            <w:pPr>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rPr>
              <w:t>数量</w:t>
            </w:r>
          </w:p>
        </w:tc>
        <w:tc>
          <w:tcPr>
            <w:tcW w:w="435" w:type="dxa"/>
            <w:vAlign w:val="center"/>
          </w:tcPr>
          <w:p w14:paraId="1B444134">
            <w:pPr>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rPr>
              <w:t>单位</w:t>
            </w:r>
          </w:p>
        </w:tc>
        <w:tc>
          <w:tcPr>
            <w:tcW w:w="7781" w:type="dxa"/>
            <w:gridSpan w:val="2"/>
            <w:vAlign w:val="center"/>
          </w:tcPr>
          <w:p w14:paraId="7EB25E4E">
            <w:pPr>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vertAlign w:val="baseline"/>
              </w:rPr>
            </w:pPr>
            <w:r>
              <w:rPr>
                <w:rFonts w:hint="eastAsia" w:ascii="宋体" w:hAnsi="宋体"/>
                <w:b/>
                <w:color w:val="auto"/>
                <w:kern w:val="21"/>
                <w:szCs w:val="21"/>
              </w:rPr>
              <w:t>服务内容及相关要求</w:t>
            </w:r>
            <w:r>
              <w:rPr>
                <w:rFonts w:hint="eastAsia" w:ascii="宋体" w:hAnsi="宋体" w:eastAsia="宋体" w:cs="宋体"/>
                <w:b/>
                <w:bCs/>
                <w:color w:val="auto"/>
                <w:sz w:val="21"/>
                <w:szCs w:val="21"/>
                <w:highlight w:val="none"/>
                <w:lang w:val="en-US" w:eastAsia="zh-CN"/>
              </w:rPr>
              <w:t>（技术部分）</w:t>
            </w:r>
          </w:p>
        </w:tc>
      </w:tr>
      <w:tr w14:paraId="44C2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1161" w:type="dxa"/>
            <w:vAlign w:val="center"/>
          </w:tcPr>
          <w:p w14:paraId="5DA0FE60">
            <w:pPr>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vertAlign w:val="baseline"/>
              </w:rPr>
            </w:pPr>
          </w:p>
          <w:p w14:paraId="638A6877">
            <w:pPr>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vertAlign w:val="baseline"/>
              </w:rPr>
            </w:pPr>
            <w:r>
              <w:rPr>
                <w:rFonts w:hint="eastAsia" w:cs="宋体"/>
                <w:color w:val="auto"/>
                <w:sz w:val="21"/>
                <w:szCs w:val="21"/>
                <w:highlight w:val="none"/>
                <w:lang w:val="en-US" w:eastAsia="zh-CN"/>
              </w:rPr>
              <w:t>2025—2026年度北海市区控市级环境空气和大气降水自动监测站运行维护服务</w:t>
            </w:r>
          </w:p>
        </w:tc>
        <w:tc>
          <w:tcPr>
            <w:tcW w:w="435" w:type="dxa"/>
            <w:vAlign w:val="center"/>
          </w:tcPr>
          <w:p w14:paraId="3620C757">
            <w:pPr>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p>
        </w:tc>
        <w:tc>
          <w:tcPr>
            <w:tcW w:w="435" w:type="dxa"/>
            <w:vAlign w:val="center"/>
          </w:tcPr>
          <w:p w14:paraId="18295521">
            <w:pPr>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项</w:t>
            </w:r>
          </w:p>
        </w:tc>
        <w:tc>
          <w:tcPr>
            <w:tcW w:w="7781" w:type="dxa"/>
            <w:gridSpan w:val="2"/>
            <w:vAlign w:val="center"/>
          </w:tcPr>
          <w:p w14:paraId="05D28CD5">
            <w:pPr>
              <w:numPr>
                <w:ilvl w:val="-1"/>
                <w:numId w:val="0"/>
              </w:numPr>
              <w:overflowPunct w:val="0"/>
              <w:spacing w:before="0" w:beforeAutospacing="0" w:after="0" w:afterAutospacing="0" w:line="360" w:lineRule="auto"/>
              <w:ind w:left="440" w:leftChars="200" w:right="0" w:firstLine="0" w:firstLineChars="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一、</w:t>
            </w:r>
            <w:r>
              <w:rPr>
                <w:rFonts w:hint="eastAsia" w:ascii="宋体" w:hAnsi="宋体" w:eastAsia="宋体" w:cs="宋体"/>
                <w:b/>
                <w:bCs/>
                <w:color w:val="auto"/>
                <w:sz w:val="28"/>
                <w:szCs w:val="28"/>
              </w:rPr>
              <w:t>项目背景</w:t>
            </w:r>
          </w:p>
          <w:p w14:paraId="5F66A42E">
            <w:pPr>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北海市设有</w:t>
            </w:r>
            <w:r>
              <w:rPr>
                <w:rFonts w:hint="eastAsia" w:ascii="宋体" w:hAnsi="宋体" w:eastAsia="宋体" w:cs="宋体"/>
                <w:color w:val="auto"/>
                <w:kern w:val="0"/>
                <w:sz w:val="24"/>
                <w:szCs w:val="24"/>
              </w:rPr>
              <w:t>牛尾岭水库</w:t>
            </w:r>
            <w:r>
              <w:rPr>
                <w:rFonts w:hint="eastAsia" w:ascii="宋体" w:hAnsi="宋体" w:eastAsia="宋体" w:cs="宋体"/>
                <w:color w:val="auto"/>
                <w:kern w:val="0"/>
                <w:sz w:val="24"/>
                <w:szCs w:val="24"/>
                <w:lang w:val="en-US" w:eastAsia="zh-CN"/>
              </w:rPr>
              <w:t>清洁对照点、</w:t>
            </w:r>
            <w:r>
              <w:rPr>
                <w:rFonts w:hint="eastAsia" w:ascii="宋体" w:hAnsi="宋体" w:eastAsia="宋体" w:cs="宋体"/>
                <w:color w:val="auto"/>
                <w:kern w:val="0"/>
                <w:sz w:val="24"/>
                <w:szCs w:val="24"/>
              </w:rPr>
              <w:t>新市环保局非甲烷总烃</w:t>
            </w:r>
            <w:r>
              <w:rPr>
                <w:rFonts w:hint="eastAsia" w:ascii="宋体" w:hAnsi="宋体" w:eastAsia="宋体" w:cs="宋体"/>
                <w:color w:val="auto"/>
                <w:sz w:val="24"/>
                <w:szCs w:val="24"/>
                <w:lang w:val="en-US" w:eastAsia="zh-CN"/>
              </w:rPr>
              <w:t>2个</w:t>
            </w:r>
            <w:r>
              <w:rPr>
                <w:rFonts w:hint="eastAsia" w:ascii="宋体" w:hAnsi="宋体" w:eastAsia="宋体" w:cs="宋体"/>
                <w:color w:val="auto"/>
                <w:sz w:val="24"/>
                <w:szCs w:val="24"/>
                <w:lang w:eastAsia="zh-CN"/>
              </w:rPr>
              <w:t>区控市级环境空气质量</w:t>
            </w:r>
            <w:r>
              <w:rPr>
                <w:rFonts w:hint="eastAsia" w:ascii="宋体" w:hAnsi="宋体" w:eastAsia="宋体" w:cs="宋体"/>
                <w:color w:val="auto"/>
                <w:kern w:val="0"/>
                <w:sz w:val="24"/>
                <w:szCs w:val="24"/>
                <w:lang w:val="en-US" w:eastAsia="zh-CN"/>
              </w:rPr>
              <w:t>和</w:t>
            </w:r>
            <w:r>
              <w:rPr>
                <w:rFonts w:hint="eastAsia" w:ascii="宋体" w:hAnsi="宋体" w:eastAsia="宋体" w:cs="宋体"/>
                <w:color w:val="auto"/>
                <w:kern w:val="0"/>
                <w:sz w:val="24"/>
                <w:szCs w:val="24"/>
              </w:rPr>
              <w:t>牛尾岭水库</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龙潭水厂</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新市环保局</w:t>
            </w:r>
            <w:r>
              <w:rPr>
                <w:rFonts w:hint="eastAsia" w:ascii="宋体" w:hAnsi="宋体" w:eastAsia="宋体" w:cs="宋体"/>
                <w:color w:val="auto"/>
                <w:kern w:val="0"/>
                <w:sz w:val="24"/>
                <w:szCs w:val="24"/>
                <w:lang w:val="en-US" w:eastAsia="zh-CN"/>
              </w:rPr>
              <w:t>和</w:t>
            </w:r>
            <w:r>
              <w:rPr>
                <w:rFonts w:hint="eastAsia" w:ascii="宋体" w:hAnsi="宋体" w:eastAsia="宋体" w:cs="宋体"/>
                <w:color w:val="auto"/>
                <w:kern w:val="0"/>
                <w:sz w:val="24"/>
                <w:szCs w:val="24"/>
              </w:rPr>
              <w:t>北海工业园</w:t>
            </w:r>
            <w:r>
              <w:rPr>
                <w:rFonts w:hint="eastAsia" w:ascii="宋体" w:hAnsi="宋体" w:eastAsia="宋体" w:cs="宋体"/>
                <w:color w:val="auto"/>
                <w:sz w:val="24"/>
                <w:szCs w:val="24"/>
                <w:lang w:val="en-US" w:eastAsia="zh-CN"/>
              </w:rPr>
              <w:t>4个大气降水</w:t>
            </w:r>
            <w:r>
              <w:rPr>
                <w:rFonts w:hint="eastAsia" w:ascii="宋体" w:hAnsi="宋体" w:eastAsia="宋体" w:cs="宋体"/>
                <w:color w:val="auto"/>
                <w:sz w:val="24"/>
                <w:szCs w:val="24"/>
                <w:lang w:eastAsia="zh-CN"/>
              </w:rPr>
              <w:t>自动监测站，日常运行维护为</w:t>
            </w:r>
            <w:r>
              <w:rPr>
                <w:rFonts w:hint="eastAsia" w:ascii="宋体" w:hAnsi="宋体" w:eastAsia="宋体" w:cs="宋体"/>
                <w:color w:val="auto"/>
                <w:sz w:val="24"/>
                <w:szCs w:val="24"/>
                <w:lang w:val="en-US" w:eastAsia="zh-CN"/>
              </w:rPr>
              <w:t>广西壮族</w:t>
            </w:r>
            <w:r>
              <w:rPr>
                <w:rFonts w:hint="eastAsia" w:ascii="宋体" w:hAnsi="宋体" w:eastAsia="宋体" w:cs="宋体"/>
                <w:color w:val="auto"/>
                <w:sz w:val="24"/>
                <w:szCs w:val="24"/>
                <w:lang w:eastAsia="zh-CN"/>
              </w:rPr>
              <w:t>自治区</w:t>
            </w:r>
            <w:r>
              <w:rPr>
                <w:rFonts w:hint="eastAsia" w:ascii="宋体" w:hAnsi="宋体" w:eastAsia="宋体" w:cs="宋体"/>
                <w:color w:val="auto"/>
                <w:sz w:val="24"/>
                <w:szCs w:val="24"/>
                <w:lang w:val="en-US" w:eastAsia="zh-CN"/>
              </w:rPr>
              <w:t>生态环境厅</w:t>
            </w:r>
            <w:r>
              <w:rPr>
                <w:rFonts w:hint="eastAsia" w:ascii="宋体" w:hAnsi="宋体" w:eastAsia="宋体" w:cs="宋体"/>
                <w:color w:val="auto"/>
                <w:sz w:val="24"/>
                <w:szCs w:val="24"/>
                <w:lang w:eastAsia="zh-CN"/>
              </w:rPr>
              <w:t>事权，</w:t>
            </w:r>
            <w:r>
              <w:rPr>
                <w:rFonts w:hint="eastAsia" w:ascii="宋体" w:hAnsi="宋体" w:eastAsia="宋体" w:cs="宋体"/>
                <w:color w:val="auto"/>
                <w:sz w:val="24"/>
                <w:szCs w:val="24"/>
                <w:lang w:val="en-US" w:eastAsia="zh-CN"/>
              </w:rPr>
              <w:t>广西壮族</w:t>
            </w:r>
            <w:r>
              <w:rPr>
                <w:rFonts w:hint="eastAsia" w:ascii="宋体" w:hAnsi="宋体" w:eastAsia="宋体" w:cs="宋体"/>
                <w:color w:val="auto"/>
                <w:sz w:val="24"/>
                <w:szCs w:val="24"/>
                <w:lang w:eastAsia="zh-CN"/>
              </w:rPr>
              <w:t>自治区</w:t>
            </w:r>
            <w:r>
              <w:rPr>
                <w:rFonts w:hint="eastAsia" w:ascii="宋体" w:hAnsi="宋体" w:eastAsia="宋体" w:cs="宋体"/>
                <w:color w:val="auto"/>
                <w:sz w:val="24"/>
                <w:szCs w:val="24"/>
                <w:lang w:val="en-US" w:eastAsia="zh-CN"/>
              </w:rPr>
              <w:t>北海生态环境</w:t>
            </w:r>
            <w:r>
              <w:rPr>
                <w:rFonts w:hint="eastAsia" w:ascii="宋体" w:hAnsi="宋体" w:eastAsia="宋体" w:cs="宋体"/>
                <w:color w:val="auto"/>
                <w:sz w:val="24"/>
                <w:szCs w:val="24"/>
                <w:lang w:eastAsia="zh-CN"/>
              </w:rPr>
              <w:t>监测中心</w:t>
            </w:r>
            <w:r>
              <w:rPr>
                <w:rFonts w:hint="eastAsia" w:ascii="宋体" w:hAnsi="宋体" w:eastAsia="宋体" w:cs="宋体"/>
                <w:color w:val="auto"/>
                <w:sz w:val="24"/>
                <w:szCs w:val="24"/>
                <w:lang w:val="en-US" w:eastAsia="zh-CN"/>
              </w:rPr>
              <w:t>根据要求</w:t>
            </w:r>
            <w:r>
              <w:rPr>
                <w:rFonts w:hint="eastAsia" w:ascii="宋体" w:hAnsi="宋体" w:eastAsia="宋体" w:cs="宋体"/>
                <w:color w:val="auto"/>
                <w:sz w:val="24"/>
                <w:szCs w:val="24"/>
                <w:lang w:eastAsia="zh-CN"/>
              </w:rPr>
              <w:t>委托社会化运维机构承担，</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eastAsia="zh-CN"/>
              </w:rPr>
              <w:t>配合</w:t>
            </w:r>
            <w:r>
              <w:rPr>
                <w:rFonts w:hint="eastAsia" w:ascii="宋体" w:hAnsi="宋体" w:eastAsia="宋体" w:cs="宋体"/>
                <w:color w:val="auto"/>
                <w:sz w:val="24"/>
                <w:szCs w:val="24"/>
                <w:lang w:val="en-US" w:eastAsia="zh-CN"/>
              </w:rPr>
              <w:t>广西壮族</w:t>
            </w:r>
            <w:r>
              <w:rPr>
                <w:rFonts w:hint="eastAsia" w:ascii="宋体" w:hAnsi="宋体" w:eastAsia="宋体" w:cs="宋体"/>
                <w:color w:val="auto"/>
                <w:sz w:val="24"/>
                <w:szCs w:val="24"/>
                <w:lang w:eastAsia="zh-CN"/>
              </w:rPr>
              <w:t>自治区生态环境监测中心开展辖区内区控市级</w:t>
            </w:r>
            <w:r>
              <w:rPr>
                <w:rFonts w:hint="eastAsia" w:ascii="宋体" w:hAnsi="宋体" w:eastAsia="宋体" w:cs="宋体"/>
                <w:color w:val="auto"/>
                <w:sz w:val="24"/>
                <w:szCs w:val="24"/>
                <w:lang w:val="en-US" w:eastAsia="zh-CN"/>
              </w:rPr>
              <w:t>环境</w:t>
            </w:r>
            <w:r>
              <w:rPr>
                <w:rFonts w:hint="eastAsia" w:ascii="宋体" w:hAnsi="宋体" w:eastAsia="宋体" w:cs="宋体"/>
                <w:color w:val="auto"/>
                <w:sz w:val="24"/>
                <w:szCs w:val="24"/>
                <w:lang w:eastAsia="zh-CN"/>
              </w:rPr>
              <w:t>空气</w:t>
            </w:r>
            <w:r>
              <w:rPr>
                <w:rFonts w:hint="eastAsia" w:ascii="宋体" w:hAnsi="宋体" w:eastAsia="宋体" w:cs="宋体"/>
                <w:color w:val="auto"/>
                <w:sz w:val="24"/>
                <w:szCs w:val="24"/>
                <w:lang w:val="en-US" w:eastAsia="zh-CN"/>
              </w:rPr>
              <w:t>和大气降水</w:t>
            </w:r>
            <w:r>
              <w:rPr>
                <w:rFonts w:hint="eastAsia" w:ascii="宋体" w:hAnsi="宋体" w:eastAsia="宋体" w:cs="宋体"/>
                <w:color w:val="auto"/>
                <w:sz w:val="24"/>
                <w:szCs w:val="24"/>
                <w:lang w:eastAsia="zh-CN"/>
              </w:rPr>
              <w:t>自动监测站的</w:t>
            </w:r>
            <w:r>
              <w:rPr>
                <w:rFonts w:hint="eastAsia" w:ascii="宋体" w:hAnsi="宋体" w:eastAsia="宋体" w:cs="宋体"/>
                <w:color w:val="auto"/>
                <w:sz w:val="24"/>
                <w:szCs w:val="24"/>
                <w:lang w:val="en-US" w:eastAsia="zh-CN"/>
              </w:rPr>
              <w:t>质量</w:t>
            </w:r>
            <w:r>
              <w:rPr>
                <w:rFonts w:hint="eastAsia" w:ascii="宋体" w:hAnsi="宋体" w:eastAsia="宋体" w:cs="宋体"/>
                <w:color w:val="auto"/>
                <w:sz w:val="24"/>
                <w:szCs w:val="24"/>
                <w:lang w:eastAsia="zh-CN"/>
              </w:rPr>
              <w:t>检查工作，</w:t>
            </w:r>
            <w:r>
              <w:rPr>
                <w:rFonts w:hint="eastAsia" w:ascii="宋体" w:hAnsi="宋体" w:eastAsia="宋体" w:cs="宋体"/>
                <w:color w:val="auto"/>
                <w:sz w:val="24"/>
                <w:szCs w:val="24"/>
                <w:lang w:val="en-US" w:eastAsia="zh-CN"/>
              </w:rPr>
              <w:t>确保运维质量，</w:t>
            </w:r>
            <w:r>
              <w:rPr>
                <w:rFonts w:hint="eastAsia" w:ascii="宋体" w:hAnsi="宋体" w:eastAsia="宋体" w:cs="宋体"/>
                <w:color w:val="auto"/>
                <w:kern w:val="0"/>
                <w:sz w:val="24"/>
                <w:szCs w:val="24"/>
                <w:lang w:val="en-US" w:eastAsia="zh-CN"/>
              </w:rPr>
              <w:t>达到国家总站、</w:t>
            </w:r>
            <w:r>
              <w:rPr>
                <w:rFonts w:hint="eastAsia" w:ascii="宋体" w:hAnsi="宋体" w:eastAsia="宋体" w:cs="宋体"/>
                <w:color w:val="auto"/>
                <w:sz w:val="24"/>
                <w:szCs w:val="24"/>
                <w:lang w:val="en-US" w:eastAsia="zh-CN"/>
              </w:rPr>
              <w:t>广西壮族</w:t>
            </w:r>
            <w:r>
              <w:rPr>
                <w:rFonts w:hint="eastAsia" w:ascii="宋体" w:hAnsi="宋体" w:eastAsia="宋体" w:cs="宋体"/>
                <w:color w:val="auto"/>
                <w:kern w:val="0"/>
                <w:sz w:val="24"/>
                <w:szCs w:val="24"/>
                <w:lang w:val="en-US" w:eastAsia="zh-CN"/>
              </w:rPr>
              <w:t>自治区生态环境监测中心的绩效考核指标要求</w:t>
            </w:r>
            <w:r>
              <w:rPr>
                <w:rFonts w:hint="eastAsia" w:ascii="宋体" w:hAnsi="宋体" w:eastAsia="宋体" w:cs="宋体"/>
                <w:color w:val="auto"/>
                <w:sz w:val="24"/>
                <w:szCs w:val="24"/>
                <w:lang w:eastAsia="zh-CN"/>
              </w:rPr>
              <w:t>。</w:t>
            </w:r>
          </w:p>
          <w:p w14:paraId="02CC9B33">
            <w:pPr>
              <w:overflowPunct w:val="0"/>
              <w:spacing w:before="0" w:beforeAutospacing="0" w:after="0" w:afterAutospacing="0" w:line="530" w:lineRule="exact"/>
              <w:ind w:left="0" w:right="0" w:firstLine="562" w:firstLineChars="2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二、</w:t>
            </w:r>
            <w:r>
              <w:rPr>
                <w:rFonts w:hint="eastAsia" w:ascii="宋体" w:hAnsi="宋体" w:eastAsia="宋体" w:cs="宋体"/>
                <w:b/>
                <w:bCs/>
                <w:color w:val="auto"/>
                <w:sz w:val="28"/>
                <w:szCs w:val="28"/>
              </w:rPr>
              <w:t>项目需求</w:t>
            </w:r>
          </w:p>
          <w:p w14:paraId="24E354E9">
            <w:pPr>
              <w:keepNext w:val="0"/>
              <w:keepLines w:val="0"/>
              <w:pageBreakBefore w:val="0"/>
              <w:kinsoku/>
              <w:wordWrap/>
              <w:topLinePunct w:val="0"/>
              <w:bidi w:val="0"/>
              <w:adjustRightInd/>
              <w:snapToGrid/>
              <w:spacing w:before="0" w:beforeAutospacing="0" w:after="0" w:afterAutospacing="0" w:line="520" w:lineRule="exact"/>
              <w:ind w:left="0" w:right="0"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（一）运维服务内容</w:t>
            </w:r>
          </w:p>
          <w:p w14:paraId="72D82FEB">
            <w:pPr>
              <w:keepNext w:val="0"/>
              <w:keepLines w:val="0"/>
              <w:pageBreakBefore w:val="0"/>
              <w:kinsoku/>
              <w:wordWrap/>
              <w:topLinePunct w:val="0"/>
              <w:bidi w:val="0"/>
              <w:adjustRightInd/>
              <w:snapToGrid/>
              <w:spacing w:before="0" w:beforeAutospacing="0" w:after="0" w:afterAutospacing="0" w:line="520" w:lineRule="exact"/>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color w:val="auto"/>
                <w:kern w:val="0"/>
                <w:sz w:val="24"/>
                <w:szCs w:val="24"/>
              </w:rPr>
              <w:t>依据《环境空气颗粒物（PM10和 PM2.5）连续自动监测系统运行和质控技术规范》（HJ 817–2018）、《环境空气气态污染物（SO2、NO2、O3、CO）连续自动监测系统运行和质控技术规范》（HJ 818–2018）</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《环境空气挥发性有机物自动监测数据联网工作要求》及《环境空气挥发性有机物自动监测数据联网技术规定》</w:t>
            </w:r>
            <w:r>
              <w:rPr>
                <w:rFonts w:hint="eastAsia" w:ascii="宋体" w:hAnsi="宋体" w:eastAsia="宋体" w:cs="宋体"/>
                <w:color w:val="auto"/>
                <w:kern w:val="0"/>
                <w:sz w:val="24"/>
                <w:szCs w:val="24"/>
                <w:lang w:val="en-US" w:eastAsia="zh-CN"/>
              </w:rPr>
              <w:t>等相关大气自动监测标准规范</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对</w:t>
            </w:r>
            <w:r>
              <w:rPr>
                <w:rFonts w:hint="eastAsia" w:ascii="宋体" w:hAnsi="宋体" w:eastAsia="宋体" w:cs="宋体"/>
                <w:b w:val="0"/>
                <w:bCs w:val="0"/>
                <w:color w:val="auto"/>
                <w:sz w:val="24"/>
                <w:szCs w:val="24"/>
                <w:lang w:eastAsia="zh-CN"/>
              </w:rPr>
              <w:t>北海市</w:t>
            </w:r>
            <w:r>
              <w:rPr>
                <w:rFonts w:hint="eastAsia" w:ascii="宋体" w:hAnsi="宋体" w:eastAsia="宋体" w:cs="宋体"/>
                <w:b w:val="0"/>
                <w:bCs w:val="0"/>
                <w:color w:val="auto"/>
                <w:sz w:val="24"/>
                <w:szCs w:val="24"/>
                <w:lang w:val="en-US" w:eastAsia="zh-CN"/>
              </w:rPr>
              <w:t>两个区控市级城市</w:t>
            </w:r>
            <w:r>
              <w:rPr>
                <w:rFonts w:hint="eastAsia" w:ascii="宋体" w:hAnsi="宋体" w:eastAsia="宋体" w:cs="宋体"/>
                <w:color w:val="auto"/>
                <w:sz w:val="24"/>
                <w:szCs w:val="24"/>
                <w:lang w:val="en-US" w:eastAsia="zh-CN"/>
              </w:rPr>
              <w:t>环境空气</w:t>
            </w:r>
            <w:r>
              <w:rPr>
                <w:rFonts w:hint="eastAsia" w:ascii="宋体" w:hAnsi="宋体" w:eastAsia="宋体" w:cs="宋体"/>
                <w:color w:val="auto"/>
                <w:sz w:val="24"/>
                <w:szCs w:val="24"/>
              </w:rPr>
              <w:t>自动监测</w:t>
            </w:r>
            <w:r>
              <w:rPr>
                <w:rFonts w:hint="eastAsia" w:ascii="宋体" w:hAnsi="宋体" w:eastAsia="宋体" w:cs="宋体"/>
                <w:color w:val="auto"/>
                <w:sz w:val="24"/>
                <w:szCs w:val="24"/>
                <w:lang w:eastAsia="zh-CN"/>
              </w:rPr>
              <w:t>点位</w:t>
            </w:r>
            <w:r>
              <w:rPr>
                <w:rFonts w:hint="eastAsia" w:ascii="宋体" w:hAnsi="宋体" w:eastAsia="宋体" w:cs="宋体"/>
                <w:color w:val="auto"/>
                <w:sz w:val="24"/>
                <w:szCs w:val="24"/>
                <w:lang w:val="en-US" w:eastAsia="zh-CN"/>
              </w:rPr>
              <w:t>所有</w:t>
            </w:r>
            <w:r>
              <w:rPr>
                <w:rFonts w:hint="eastAsia" w:ascii="宋体" w:hAnsi="宋体" w:eastAsia="宋体" w:cs="宋体"/>
                <w:color w:val="auto"/>
                <w:sz w:val="24"/>
                <w:szCs w:val="24"/>
                <w:lang w:eastAsia="zh-CN"/>
              </w:rPr>
              <w:t>自动监测</w:t>
            </w:r>
            <w:r>
              <w:rPr>
                <w:rFonts w:hint="eastAsia" w:ascii="宋体" w:hAnsi="宋体" w:eastAsia="宋体" w:cs="宋体"/>
                <w:color w:val="auto"/>
                <w:sz w:val="24"/>
                <w:szCs w:val="24"/>
                <w:lang w:val="en-US" w:eastAsia="zh-CN"/>
              </w:rPr>
              <w:t>设备的</w:t>
            </w:r>
            <w:r>
              <w:rPr>
                <w:rFonts w:hint="eastAsia" w:ascii="宋体" w:hAnsi="宋体" w:eastAsia="宋体" w:cs="宋体"/>
                <w:color w:val="auto"/>
                <w:kern w:val="0"/>
                <w:sz w:val="24"/>
                <w:szCs w:val="24"/>
              </w:rPr>
              <w:t>日常维护</w:t>
            </w:r>
            <w:r>
              <w:rPr>
                <w:rFonts w:hint="eastAsia" w:ascii="宋体" w:hAnsi="宋体" w:eastAsia="宋体" w:cs="宋体"/>
                <w:color w:val="auto"/>
                <w:sz w:val="24"/>
                <w:szCs w:val="24"/>
                <w:lang w:eastAsia="zh-CN"/>
              </w:rPr>
              <w:t>保养</w:t>
            </w:r>
            <w:r>
              <w:rPr>
                <w:rFonts w:hint="eastAsia" w:ascii="宋体" w:hAnsi="宋体" w:eastAsia="宋体" w:cs="宋体"/>
                <w:color w:val="auto"/>
                <w:kern w:val="0"/>
                <w:sz w:val="24"/>
                <w:szCs w:val="24"/>
              </w:rPr>
              <w:t>、质量控制、故障维修、年度检修与预防性维护、</w:t>
            </w:r>
            <w:r>
              <w:rPr>
                <w:rFonts w:hint="eastAsia" w:ascii="宋体" w:hAnsi="宋体" w:eastAsia="宋体" w:cs="宋体"/>
                <w:color w:val="auto"/>
                <w:kern w:val="0"/>
                <w:sz w:val="24"/>
                <w:szCs w:val="24"/>
                <w:lang w:val="en-US" w:eastAsia="zh-CN"/>
              </w:rPr>
              <w:t>设备</w:t>
            </w:r>
            <w:r>
              <w:rPr>
                <w:rFonts w:hint="eastAsia" w:ascii="宋体" w:hAnsi="宋体" w:eastAsia="宋体" w:cs="宋体"/>
                <w:color w:val="auto"/>
                <w:kern w:val="0"/>
                <w:sz w:val="24"/>
                <w:szCs w:val="24"/>
              </w:rPr>
              <w:t>检定、数据审核上报</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异常情况汇报、运维档案管理</w:t>
            </w:r>
            <w:r>
              <w:rPr>
                <w:rFonts w:hint="eastAsia" w:ascii="宋体" w:hAnsi="宋体" w:eastAsia="宋体" w:cs="宋体"/>
                <w:color w:val="auto"/>
                <w:kern w:val="0"/>
                <w:sz w:val="24"/>
                <w:szCs w:val="24"/>
              </w:rPr>
              <w:t>等</w:t>
            </w:r>
            <w:r>
              <w:rPr>
                <w:rFonts w:hint="eastAsia" w:ascii="宋体" w:hAnsi="宋体" w:eastAsia="宋体" w:cs="宋体"/>
                <w:color w:val="auto"/>
                <w:kern w:val="0"/>
                <w:sz w:val="24"/>
                <w:szCs w:val="24"/>
                <w:lang w:val="en-US" w:eastAsia="zh-CN"/>
              </w:rPr>
              <w:t>自动监测全流程</w:t>
            </w:r>
            <w:r>
              <w:rPr>
                <w:rFonts w:hint="eastAsia" w:ascii="宋体" w:hAnsi="宋体" w:eastAsia="宋体" w:cs="宋体"/>
                <w:color w:val="auto"/>
                <w:kern w:val="0"/>
                <w:sz w:val="24"/>
                <w:szCs w:val="24"/>
              </w:rPr>
              <w:t>工作</w:t>
            </w:r>
            <w:r>
              <w:rPr>
                <w:rFonts w:hint="eastAsia" w:ascii="宋体" w:hAnsi="宋体" w:eastAsia="宋体" w:cs="宋体"/>
                <w:color w:val="auto"/>
                <w:sz w:val="24"/>
                <w:szCs w:val="24"/>
                <w:lang w:val="en-US" w:eastAsia="zh-CN"/>
              </w:rPr>
              <w:t>开展运维服务</w:t>
            </w:r>
            <w:r>
              <w:rPr>
                <w:rFonts w:hint="eastAsia" w:ascii="宋体" w:hAnsi="宋体" w:eastAsia="宋体" w:cs="宋体"/>
                <w:color w:val="auto"/>
                <w:kern w:val="0"/>
                <w:sz w:val="24"/>
                <w:szCs w:val="24"/>
              </w:rPr>
              <w:t>，承担标准气体购买、站房</w:t>
            </w:r>
            <w:r>
              <w:rPr>
                <w:rFonts w:hint="eastAsia" w:ascii="宋体" w:hAnsi="宋体" w:eastAsia="宋体" w:cs="宋体"/>
                <w:color w:val="auto"/>
                <w:kern w:val="0"/>
                <w:sz w:val="24"/>
                <w:szCs w:val="24"/>
                <w:lang w:val="en-US" w:eastAsia="zh-CN"/>
              </w:rPr>
              <w:t>日常卫生和维修</w:t>
            </w:r>
            <w:r>
              <w:rPr>
                <w:rFonts w:hint="eastAsia" w:ascii="宋体" w:hAnsi="宋体" w:eastAsia="宋体" w:cs="宋体"/>
                <w:color w:val="auto"/>
                <w:kern w:val="0"/>
                <w:sz w:val="24"/>
                <w:szCs w:val="24"/>
              </w:rPr>
              <w:t>维护、</w:t>
            </w:r>
            <w:r>
              <w:rPr>
                <w:rFonts w:hint="eastAsia" w:ascii="宋体" w:hAnsi="宋体" w:eastAsia="宋体" w:cs="宋体"/>
                <w:color w:val="auto"/>
                <w:kern w:val="0"/>
                <w:sz w:val="24"/>
                <w:szCs w:val="24"/>
                <w:lang w:val="en-US" w:eastAsia="zh-CN"/>
              </w:rPr>
              <w:t>防雷检定、</w:t>
            </w:r>
            <w:r>
              <w:rPr>
                <w:rFonts w:hint="eastAsia" w:ascii="宋体" w:hAnsi="宋体" w:eastAsia="宋体" w:cs="宋体"/>
                <w:color w:val="auto"/>
                <w:kern w:val="0"/>
                <w:sz w:val="24"/>
                <w:szCs w:val="24"/>
              </w:rPr>
              <w:t>电力和网络通讯费用。运维工作要确保各项监测仪器正常稳定</w:t>
            </w:r>
            <w:r>
              <w:rPr>
                <w:rFonts w:hint="eastAsia" w:ascii="宋体" w:hAnsi="宋体" w:eastAsia="宋体" w:cs="宋体"/>
                <w:color w:val="auto"/>
                <w:kern w:val="0"/>
                <w:sz w:val="24"/>
                <w:szCs w:val="24"/>
                <w:lang w:val="en-US" w:eastAsia="zh-CN"/>
              </w:rPr>
              <w:t>有效</w:t>
            </w:r>
            <w:r>
              <w:rPr>
                <w:rFonts w:hint="eastAsia" w:ascii="宋体" w:hAnsi="宋体" w:eastAsia="宋体" w:cs="宋体"/>
                <w:color w:val="auto"/>
                <w:kern w:val="0"/>
                <w:sz w:val="24"/>
                <w:szCs w:val="24"/>
              </w:rPr>
              <w:t>运行</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监测数据真、准、全，</w:t>
            </w:r>
            <w:r>
              <w:rPr>
                <w:rFonts w:hint="eastAsia" w:ascii="宋体" w:hAnsi="宋体" w:eastAsia="宋体" w:cs="宋体"/>
                <w:color w:val="auto"/>
                <w:kern w:val="0"/>
                <w:sz w:val="24"/>
                <w:szCs w:val="24"/>
              </w:rPr>
              <w:t>并与国家、自治区生态环境部门联网正常</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达到国家总站、自治区生态环境监测中心的绩效</w:t>
            </w:r>
            <w:r>
              <w:rPr>
                <w:rFonts w:hint="eastAsia" w:ascii="宋体" w:hAnsi="宋体" w:eastAsia="宋体" w:cs="宋体"/>
                <w:b w:val="0"/>
                <w:bCs w:val="0"/>
                <w:color w:val="auto"/>
                <w:sz w:val="24"/>
                <w:szCs w:val="24"/>
                <w:lang w:val="en-US" w:eastAsia="zh-CN"/>
              </w:rPr>
              <w:t>考核指标要求</w:t>
            </w:r>
            <w:r>
              <w:rPr>
                <w:rFonts w:hint="eastAsia" w:ascii="宋体" w:hAnsi="宋体" w:eastAsia="宋体" w:cs="宋体"/>
                <w:color w:val="auto"/>
                <w:kern w:val="0"/>
                <w:sz w:val="24"/>
                <w:szCs w:val="24"/>
              </w:rPr>
              <w:t>，接受</w:t>
            </w:r>
            <w:r>
              <w:rPr>
                <w:rFonts w:hint="eastAsia" w:ascii="宋体" w:hAnsi="宋体" w:eastAsia="宋体" w:cs="宋体"/>
                <w:color w:val="auto"/>
                <w:kern w:val="0"/>
                <w:sz w:val="24"/>
                <w:szCs w:val="24"/>
                <w:lang w:val="en-US" w:eastAsia="zh-CN"/>
              </w:rPr>
              <w:t>广西壮族自治区北海生态环境监测中心（以下简称“北海中心”）</w:t>
            </w:r>
            <w:r>
              <w:rPr>
                <w:rFonts w:hint="eastAsia" w:ascii="宋体" w:hAnsi="宋体" w:eastAsia="宋体" w:cs="宋体"/>
                <w:color w:val="auto"/>
                <w:kern w:val="0"/>
                <w:sz w:val="24"/>
                <w:szCs w:val="24"/>
              </w:rPr>
              <w:t>质量检查和考核。</w:t>
            </w:r>
          </w:p>
          <w:p w14:paraId="594DD05A">
            <w:pPr>
              <w:keepNext w:val="0"/>
              <w:keepLines w:val="0"/>
              <w:pageBreakBefore w:val="0"/>
              <w:kinsoku/>
              <w:wordWrap/>
              <w:topLinePunct w:val="0"/>
              <w:bidi w:val="0"/>
              <w:adjustRightInd/>
              <w:snapToGrid/>
              <w:spacing w:before="0" w:beforeAutospacing="0" w:after="0" w:afterAutospacing="0" w:line="520" w:lineRule="exact"/>
              <w:ind w:left="0" w:right="0"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b w:val="0"/>
                <w:bCs w:val="0"/>
                <w:color w:val="auto"/>
                <w:sz w:val="24"/>
                <w:szCs w:val="24"/>
                <w:lang w:val="en-US" w:eastAsia="zh-CN"/>
              </w:rPr>
              <w:t>2.依据《广西壮族自治区大气降水自动监测技术方案》（桂环测气字〔2020〕66号）、《大气降水自动监测站</w:t>
            </w:r>
            <w:r>
              <w:rPr>
                <w:rFonts w:hint="eastAsia" w:ascii="宋体" w:hAnsi="宋体" w:eastAsia="宋体" w:cs="宋体"/>
                <w:color w:val="auto"/>
                <w:sz w:val="24"/>
                <w:szCs w:val="24"/>
                <w:lang w:eastAsia="zh-CN"/>
              </w:rPr>
              <w:t>运维方服务内容和监测管理要求</w:t>
            </w:r>
            <w:r>
              <w:rPr>
                <w:rFonts w:hint="eastAsia" w:ascii="宋体" w:hAnsi="宋体" w:eastAsia="宋体" w:cs="宋体"/>
                <w:color w:val="auto"/>
                <w:sz w:val="24"/>
                <w:szCs w:val="24"/>
                <w:lang w:val="en-US" w:eastAsia="zh-CN"/>
              </w:rPr>
              <w:t>》等相关大气降水技术要求</w:t>
            </w:r>
            <w:r>
              <w:rPr>
                <w:rFonts w:hint="eastAsia" w:ascii="宋体" w:hAnsi="宋体" w:eastAsia="宋体" w:cs="宋体"/>
                <w:b w:val="0"/>
                <w:bCs w:val="0"/>
                <w:color w:val="auto"/>
                <w:sz w:val="24"/>
                <w:szCs w:val="24"/>
                <w:lang w:val="en-US" w:eastAsia="zh-CN"/>
              </w:rPr>
              <w:t>，对</w:t>
            </w:r>
            <w:r>
              <w:rPr>
                <w:rFonts w:hint="eastAsia" w:ascii="宋体" w:hAnsi="宋体" w:eastAsia="宋体" w:cs="宋体"/>
                <w:color w:val="auto"/>
                <w:kern w:val="0"/>
                <w:sz w:val="24"/>
                <w:szCs w:val="24"/>
                <w:lang w:eastAsia="zh-CN"/>
              </w:rPr>
              <w:t>北海市</w:t>
            </w:r>
            <w:r>
              <w:rPr>
                <w:rFonts w:hint="eastAsia" w:ascii="宋体" w:hAnsi="宋体" w:eastAsia="宋体" w:cs="宋体"/>
                <w:color w:val="auto"/>
                <w:kern w:val="0"/>
                <w:sz w:val="24"/>
                <w:szCs w:val="24"/>
                <w:lang w:val="en-US" w:eastAsia="zh-CN"/>
              </w:rPr>
              <w:t>4个国（区）控</w:t>
            </w:r>
            <w:r>
              <w:rPr>
                <w:rFonts w:hint="eastAsia" w:ascii="宋体" w:hAnsi="宋体" w:eastAsia="宋体" w:cs="宋体"/>
                <w:color w:val="auto"/>
                <w:kern w:val="0"/>
                <w:sz w:val="24"/>
                <w:szCs w:val="24"/>
              </w:rPr>
              <w:t>大气降水自动监测</w:t>
            </w:r>
            <w:r>
              <w:rPr>
                <w:rFonts w:hint="eastAsia" w:ascii="宋体" w:hAnsi="宋体" w:eastAsia="宋体" w:cs="宋体"/>
                <w:color w:val="auto"/>
                <w:kern w:val="0"/>
                <w:sz w:val="24"/>
                <w:szCs w:val="24"/>
                <w:lang w:eastAsia="zh-CN"/>
              </w:rPr>
              <w:t>点位自动监测</w:t>
            </w:r>
            <w:r>
              <w:rPr>
                <w:rFonts w:hint="eastAsia" w:ascii="宋体" w:hAnsi="宋体" w:eastAsia="宋体" w:cs="宋体"/>
                <w:color w:val="auto"/>
                <w:kern w:val="0"/>
                <w:sz w:val="24"/>
                <w:szCs w:val="24"/>
              </w:rPr>
              <w:t>仪的日常运行维护</w:t>
            </w:r>
            <w:r>
              <w:rPr>
                <w:rFonts w:hint="eastAsia" w:ascii="宋体" w:hAnsi="宋体" w:eastAsia="宋体" w:cs="宋体"/>
                <w:color w:val="auto"/>
                <w:kern w:val="0"/>
                <w:sz w:val="24"/>
                <w:szCs w:val="24"/>
                <w:lang w:eastAsia="zh-CN"/>
              </w:rPr>
              <w:t>保养、</w:t>
            </w:r>
            <w:r>
              <w:rPr>
                <w:rFonts w:hint="eastAsia" w:ascii="宋体" w:hAnsi="宋体" w:eastAsia="宋体" w:cs="宋体"/>
                <w:color w:val="auto"/>
                <w:kern w:val="0"/>
                <w:sz w:val="24"/>
                <w:szCs w:val="24"/>
                <w:lang w:val="en-US" w:eastAsia="zh-CN"/>
              </w:rPr>
              <w:t>仪器</w:t>
            </w:r>
            <w:r>
              <w:rPr>
                <w:rFonts w:hint="eastAsia" w:ascii="宋体" w:hAnsi="宋体" w:eastAsia="宋体" w:cs="宋体"/>
                <w:color w:val="auto"/>
                <w:kern w:val="0"/>
                <w:sz w:val="24"/>
                <w:szCs w:val="24"/>
                <w:lang w:eastAsia="zh-CN"/>
              </w:rPr>
              <w:t>故障维修</w:t>
            </w:r>
            <w:r>
              <w:rPr>
                <w:rFonts w:hint="eastAsia" w:ascii="宋体" w:hAnsi="宋体" w:eastAsia="宋体" w:cs="宋体"/>
                <w:color w:val="auto"/>
                <w:kern w:val="0"/>
                <w:sz w:val="24"/>
                <w:szCs w:val="24"/>
              </w:rPr>
              <w:t>、质量控制</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样品</w:t>
            </w:r>
            <w:r>
              <w:rPr>
                <w:rFonts w:hint="eastAsia" w:ascii="宋体" w:hAnsi="宋体" w:eastAsia="宋体" w:cs="宋体"/>
                <w:color w:val="auto"/>
                <w:kern w:val="0"/>
                <w:sz w:val="24"/>
                <w:szCs w:val="24"/>
              </w:rPr>
              <w:t>采</w:t>
            </w:r>
            <w:r>
              <w:rPr>
                <w:rFonts w:hint="eastAsia" w:ascii="宋体" w:hAnsi="宋体" w:eastAsia="宋体" w:cs="宋体"/>
                <w:color w:val="auto"/>
                <w:kern w:val="0"/>
                <w:sz w:val="24"/>
                <w:szCs w:val="24"/>
                <w:lang w:val="en-US" w:eastAsia="zh-CN"/>
              </w:rPr>
              <w:t>集存储运输、数据分析传输、监测异常汇报</w:t>
            </w:r>
            <w:r>
              <w:rPr>
                <w:rFonts w:hint="eastAsia" w:ascii="宋体" w:hAnsi="宋体" w:eastAsia="宋体" w:cs="宋体"/>
                <w:color w:val="auto"/>
                <w:kern w:val="0"/>
                <w:sz w:val="24"/>
                <w:szCs w:val="24"/>
              </w:rPr>
              <w:t>等</w:t>
            </w:r>
            <w:r>
              <w:rPr>
                <w:rFonts w:hint="eastAsia" w:ascii="宋体" w:hAnsi="宋体" w:eastAsia="宋体" w:cs="宋体"/>
                <w:color w:val="auto"/>
                <w:kern w:val="0"/>
                <w:sz w:val="24"/>
                <w:szCs w:val="24"/>
                <w:lang w:val="en-US" w:eastAsia="zh-CN"/>
              </w:rPr>
              <w:t>自动监测全流程工</w:t>
            </w:r>
            <w:r>
              <w:rPr>
                <w:rFonts w:hint="eastAsia" w:ascii="宋体" w:hAnsi="宋体" w:eastAsia="宋体" w:cs="宋体"/>
                <w:color w:val="auto"/>
                <w:kern w:val="0"/>
                <w:sz w:val="24"/>
                <w:szCs w:val="24"/>
              </w:rPr>
              <w:t>作</w:t>
            </w:r>
            <w:r>
              <w:rPr>
                <w:rFonts w:hint="eastAsia" w:ascii="宋体" w:hAnsi="宋体" w:eastAsia="宋体" w:cs="宋体"/>
                <w:color w:val="auto"/>
                <w:sz w:val="24"/>
                <w:szCs w:val="24"/>
                <w:lang w:val="en-US" w:eastAsia="zh-CN"/>
              </w:rPr>
              <w:t>开展运维服务</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运维工作要保障各站点监测仪器正常稳定地运行，监测数据真、准、全，达到国家总站、自治区生态环境监测中心的绩效考核指标要求</w:t>
            </w:r>
            <w:r>
              <w:rPr>
                <w:rFonts w:hint="eastAsia" w:ascii="宋体" w:hAnsi="宋体" w:eastAsia="宋体" w:cs="宋体"/>
                <w:color w:val="auto"/>
                <w:kern w:val="0"/>
                <w:sz w:val="24"/>
                <w:szCs w:val="24"/>
              </w:rPr>
              <w:t>，接受</w:t>
            </w:r>
            <w:r>
              <w:rPr>
                <w:rFonts w:hint="eastAsia" w:ascii="宋体" w:hAnsi="宋体" w:eastAsia="宋体" w:cs="宋体"/>
                <w:color w:val="auto"/>
                <w:kern w:val="0"/>
                <w:sz w:val="24"/>
                <w:szCs w:val="24"/>
                <w:lang w:val="en-US" w:eastAsia="zh-CN"/>
              </w:rPr>
              <w:t>北海中心</w:t>
            </w:r>
            <w:r>
              <w:rPr>
                <w:rFonts w:hint="eastAsia" w:ascii="宋体" w:hAnsi="宋体" w:eastAsia="宋体" w:cs="宋体"/>
                <w:color w:val="auto"/>
                <w:kern w:val="0"/>
                <w:sz w:val="24"/>
                <w:szCs w:val="24"/>
              </w:rPr>
              <w:t>质量检查和考核。</w:t>
            </w:r>
          </w:p>
          <w:p w14:paraId="38363012">
            <w:pPr>
              <w:pStyle w:val="57"/>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right="0"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（二）点位信息</w:t>
            </w:r>
            <w:r>
              <w:rPr>
                <w:rFonts w:hint="eastAsia" w:ascii="宋体" w:hAnsi="宋体" w:eastAsia="宋体" w:cs="宋体"/>
                <w:color w:val="auto"/>
                <w:sz w:val="24"/>
                <w:szCs w:val="24"/>
                <w:lang w:val="en-US" w:eastAsia="zh-CN"/>
              </w:rPr>
              <w:t xml:space="preserve"> </w:t>
            </w:r>
          </w:p>
          <w:p w14:paraId="6F9CBD22">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1.牛尾岭水库清洁对照点</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846"/>
              <w:gridCol w:w="846"/>
              <w:gridCol w:w="846"/>
              <w:gridCol w:w="846"/>
              <w:gridCol w:w="846"/>
              <w:gridCol w:w="846"/>
              <w:gridCol w:w="846"/>
              <w:gridCol w:w="904"/>
            </w:tblGrid>
            <w:tr w14:paraId="0210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0" w:type="auto"/>
                  <w:vAlign w:val="center"/>
                </w:tcPr>
                <w:p w14:paraId="55EE1E56">
                  <w:pPr>
                    <w:widowControl w:val="0"/>
                    <w:spacing w:before="0" w:beforeAutospacing="0" w:after="0" w:afterAutospacing="0" w:line="320" w:lineRule="exact"/>
                    <w:ind w:left="0" w:right="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仪器</w:t>
                  </w:r>
                </w:p>
                <w:p w14:paraId="156ECEAE">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vertAlign w:val="baseline"/>
                      <w:lang w:val="en-US" w:eastAsia="zh-CN"/>
                    </w:rPr>
                    <w:t>名称</w:t>
                  </w:r>
                </w:p>
              </w:tc>
              <w:tc>
                <w:tcPr>
                  <w:tcW w:w="0" w:type="auto"/>
                  <w:vAlign w:val="center"/>
                </w:tcPr>
                <w:p w14:paraId="4E4937D9">
                  <w:pPr>
                    <w:widowControl w:val="0"/>
                    <w:spacing w:before="0" w:beforeAutospacing="0" w:after="0" w:afterAutospacing="0" w:line="320" w:lineRule="exact"/>
                    <w:ind w:left="0" w:right="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p w14:paraId="772BA281">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56C874F0">
                  <w:pPr>
                    <w:widowControl w:val="0"/>
                    <w:spacing w:before="0" w:beforeAutospacing="0" w:after="0" w:afterAutospacing="0" w:line="320" w:lineRule="exact"/>
                    <w:ind w:left="0" w:right="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NO</w:t>
                  </w:r>
                  <w:r>
                    <w:rPr>
                      <w:rFonts w:hint="eastAsia" w:ascii="宋体" w:hAnsi="宋体" w:eastAsia="宋体" w:cs="宋体"/>
                      <w:color w:val="auto"/>
                      <w:sz w:val="21"/>
                      <w:szCs w:val="21"/>
                      <w:vertAlign w:val="subscript"/>
                    </w:rPr>
                    <w:t>X</w:t>
                  </w:r>
                </w:p>
                <w:p w14:paraId="4C70D36B">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3073484F">
                  <w:pPr>
                    <w:widowControl w:val="0"/>
                    <w:spacing w:before="0" w:beforeAutospacing="0" w:after="0" w:afterAutospacing="0" w:line="32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p>
                <w:p w14:paraId="1F3151F5">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1541F0AD">
                  <w:pPr>
                    <w:widowControl w:val="0"/>
                    <w:spacing w:before="0" w:beforeAutospacing="0" w:after="0" w:afterAutospacing="0" w:line="320" w:lineRule="exact"/>
                    <w:ind w:left="0" w:right="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p w14:paraId="131DE426">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6A0FC3CB">
                  <w:pPr>
                    <w:widowControl w:val="0"/>
                    <w:spacing w:before="0" w:beforeAutospacing="0" w:after="0" w:afterAutospacing="0" w:line="320" w:lineRule="exact"/>
                    <w:ind w:left="0" w:right="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PM</w:t>
                  </w:r>
                  <w:r>
                    <w:rPr>
                      <w:rFonts w:hint="eastAsia" w:ascii="宋体" w:hAnsi="宋体" w:eastAsia="宋体" w:cs="宋体"/>
                      <w:color w:val="auto"/>
                      <w:sz w:val="21"/>
                      <w:szCs w:val="21"/>
                      <w:vertAlign w:val="subscript"/>
                    </w:rPr>
                    <w:t>10</w:t>
                  </w:r>
                </w:p>
                <w:p w14:paraId="4231DB4B">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78EBB950">
                  <w:pPr>
                    <w:widowControl w:val="0"/>
                    <w:spacing w:before="0" w:beforeAutospacing="0" w:after="0" w:afterAutospacing="0" w:line="320" w:lineRule="exact"/>
                    <w:ind w:left="0" w:right="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PM</w:t>
                  </w:r>
                  <w:r>
                    <w:rPr>
                      <w:rFonts w:hint="eastAsia" w:ascii="宋体" w:hAnsi="宋体" w:eastAsia="宋体" w:cs="宋体"/>
                      <w:color w:val="auto"/>
                      <w:sz w:val="21"/>
                      <w:szCs w:val="21"/>
                      <w:vertAlign w:val="subscript"/>
                    </w:rPr>
                    <w:t>2.5</w:t>
                  </w:r>
                </w:p>
                <w:p w14:paraId="7D5C1A57">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分析仪</w:t>
                  </w:r>
                </w:p>
              </w:tc>
              <w:tc>
                <w:tcPr>
                  <w:tcW w:w="0" w:type="auto"/>
                  <w:vAlign w:val="center"/>
                </w:tcPr>
                <w:p w14:paraId="4455A6EE">
                  <w:pPr>
                    <w:widowControl w:val="0"/>
                    <w:spacing w:before="0" w:beforeAutospacing="0" w:after="0" w:afterAutospacing="0" w:line="32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零气</w:t>
                  </w:r>
                </w:p>
                <w:p w14:paraId="7CF01A5E">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发生器</w:t>
                  </w:r>
                </w:p>
              </w:tc>
              <w:tc>
                <w:tcPr>
                  <w:tcW w:w="904" w:type="dxa"/>
                  <w:vAlign w:val="center"/>
                </w:tcPr>
                <w:p w14:paraId="10EE4219">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rPr>
                    <w:t>动态气体校准仪</w:t>
                  </w:r>
                </w:p>
              </w:tc>
            </w:tr>
            <w:tr w14:paraId="1BD7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0" w:type="auto"/>
                  <w:vAlign w:val="center"/>
                </w:tcPr>
                <w:p w14:paraId="4DA42CBF">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vertAlign w:val="baseline"/>
                      <w:lang w:val="en-US" w:eastAsia="zh-CN"/>
                    </w:rPr>
                    <w:t>品牌</w:t>
                  </w:r>
                </w:p>
              </w:tc>
              <w:tc>
                <w:tcPr>
                  <w:tcW w:w="0" w:type="auto"/>
                  <w:vAlign w:val="center"/>
                </w:tcPr>
                <w:p w14:paraId="09B3FB65">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0" w:type="auto"/>
                  <w:vAlign w:val="center"/>
                </w:tcPr>
                <w:p w14:paraId="2C9322E5">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0" w:type="auto"/>
                  <w:vAlign w:val="center"/>
                </w:tcPr>
                <w:p w14:paraId="232EE20B">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0" w:type="auto"/>
                  <w:vAlign w:val="center"/>
                </w:tcPr>
                <w:p w14:paraId="2D3DD731">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0" w:type="auto"/>
                  <w:vAlign w:val="center"/>
                </w:tcPr>
                <w:p w14:paraId="7968C998">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0" w:type="auto"/>
                  <w:vAlign w:val="center"/>
                </w:tcPr>
                <w:p w14:paraId="237ADEF0">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en-US"/>
                    </w:rPr>
                    <w:t>Metone</w:t>
                  </w:r>
                </w:p>
              </w:tc>
              <w:tc>
                <w:tcPr>
                  <w:tcW w:w="0" w:type="auto"/>
                  <w:vAlign w:val="center"/>
                </w:tcPr>
                <w:p w14:paraId="5D3FED18">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c>
                <w:tcPr>
                  <w:tcW w:w="904" w:type="dxa"/>
                  <w:vAlign w:val="center"/>
                </w:tcPr>
                <w:p w14:paraId="527D8E70">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热电</w:t>
                  </w:r>
                </w:p>
              </w:tc>
            </w:tr>
            <w:tr w14:paraId="3BC6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0" w:type="auto"/>
                  <w:vAlign w:val="center"/>
                </w:tcPr>
                <w:p w14:paraId="7F1BDF02">
                  <w:pPr>
                    <w:widowControl w:val="0"/>
                    <w:spacing w:before="0" w:beforeAutospacing="0" w:after="0" w:afterAutospacing="0" w:line="320" w:lineRule="exact"/>
                    <w:ind w:left="0" w:right="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使用</w:t>
                  </w:r>
                </w:p>
                <w:p w14:paraId="2320DF90">
                  <w:pPr>
                    <w:widowControl w:val="0"/>
                    <w:spacing w:before="0" w:beforeAutospacing="0" w:after="0" w:afterAutospacing="0" w:line="320" w:lineRule="exact"/>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vertAlign w:val="baseline"/>
                      <w:lang w:val="en-US" w:eastAsia="zh-CN"/>
                    </w:rPr>
                    <w:t>时间</w:t>
                  </w:r>
                </w:p>
              </w:tc>
              <w:tc>
                <w:tcPr>
                  <w:tcW w:w="0" w:type="auto"/>
                  <w:vAlign w:val="center"/>
                </w:tcPr>
                <w:p w14:paraId="534536EF">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0" w:type="auto"/>
                  <w:vAlign w:val="center"/>
                </w:tcPr>
                <w:p w14:paraId="78E58042">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0" w:type="auto"/>
                  <w:vAlign w:val="center"/>
                </w:tcPr>
                <w:p w14:paraId="508477B0">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0" w:type="auto"/>
                  <w:vAlign w:val="center"/>
                </w:tcPr>
                <w:p w14:paraId="3D0264C5">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0" w:type="auto"/>
                  <w:vAlign w:val="center"/>
                </w:tcPr>
                <w:p w14:paraId="71190891">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0" w:type="auto"/>
                  <w:vAlign w:val="center"/>
                </w:tcPr>
                <w:p w14:paraId="5CD3858D">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2012.7</w:t>
                  </w:r>
                </w:p>
              </w:tc>
              <w:tc>
                <w:tcPr>
                  <w:tcW w:w="0" w:type="auto"/>
                  <w:vAlign w:val="center"/>
                </w:tcPr>
                <w:p w14:paraId="61F3BA93">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c>
                <w:tcPr>
                  <w:tcW w:w="904" w:type="dxa"/>
                  <w:vAlign w:val="center"/>
                </w:tcPr>
                <w:p w14:paraId="7EA748CF">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2011</w:t>
                  </w:r>
                  <w:r>
                    <w:rPr>
                      <w:rFonts w:hint="eastAsia" w:ascii="宋体" w:hAnsi="宋体" w:eastAsia="宋体" w:cs="宋体"/>
                      <w:color w:val="auto"/>
                      <w:kern w:val="0"/>
                      <w:sz w:val="21"/>
                      <w:szCs w:val="21"/>
                      <w:lang w:val="en-US" w:eastAsia="en-US"/>
                    </w:rPr>
                    <w:t>.</w:t>
                  </w:r>
                  <w:r>
                    <w:rPr>
                      <w:rFonts w:hint="eastAsia" w:ascii="宋体" w:hAnsi="宋体" w:eastAsia="宋体" w:cs="宋体"/>
                      <w:color w:val="auto"/>
                      <w:kern w:val="0"/>
                      <w:sz w:val="21"/>
                      <w:szCs w:val="21"/>
                      <w:lang w:val="en-US" w:eastAsia="zh-CN"/>
                    </w:rPr>
                    <w:t>6</w:t>
                  </w:r>
                </w:p>
              </w:tc>
            </w:tr>
          </w:tbl>
          <w:p w14:paraId="63A65D6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2.新市环保局非甲烷总烃</w:t>
            </w:r>
          </w:p>
          <w:tbl>
            <w:tblPr>
              <w:tblStyle w:val="26"/>
              <w:tblW w:w="7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858"/>
              <w:gridCol w:w="1756"/>
              <w:gridCol w:w="2085"/>
            </w:tblGrid>
            <w:tr w14:paraId="651D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39" w:type="dxa"/>
                  <w:vAlign w:val="center"/>
                </w:tcPr>
                <w:p w14:paraId="5DA3FBD8">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val="0"/>
                      <w:color w:val="auto"/>
                      <w:kern w:val="0"/>
                      <w:sz w:val="24"/>
                      <w:szCs w:val="24"/>
                    </w:rPr>
                    <w:t>序号</w:t>
                  </w:r>
                </w:p>
              </w:tc>
              <w:tc>
                <w:tcPr>
                  <w:tcW w:w="2858" w:type="dxa"/>
                  <w:vAlign w:val="center"/>
                </w:tcPr>
                <w:p w14:paraId="56183574">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val="0"/>
                      <w:color w:val="auto"/>
                      <w:kern w:val="0"/>
                      <w:sz w:val="24"/>
                      <w:szCs w:val="24"/>
                      <w:lang w:val="en-US" w:eastAsia="zh-CN"/>
                    </w:rPr>
                    <w:t>仪器名称</w:t>
                  </w:r>
                </w:p>
              </w:tc>
              <w:tc>
                <w:tcPr>
                  <w:tcW w:w="1756" w:type="dxa"/>
                  <w:vAlign w:val="center"/>
                </w:tcPr>
                <w:p w14:paraId="1500B096">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val="0"/>
                      <w:color w:val="auto"/>
                      <w:kern w:val="0"/>
                      <w:sz w:val="24"/>
                      <w:szCs w:val="24"/>
                      <w:lang w:val="en-US" w:eastAsia="zh-CN"/>
                    </w:rPr>
                    <w:t>品牌</w:t>
                  </w:r>
                  <w:r>
                    <w:rPr>
                      <w:rFonts w:hint="eastAsia" w:ascii="宋体" w:hAnsi="宋体" w:eastAsia="宋体" w:cs="宋体"/>
                      <w:b/>
                      <w:bCs w:val="0"/>
                      <w:color w:val="auto"/>
                      <w:kern w:val="0"/>
                      <w:sz w:val="24"/>
                      <w:szCs w:val="24"/>
                    </w:rPr>
                    <w:t>名称</w:t>
                  </w:r>
                </w:p>
              </w:tc>
              <w:tc>
                <w:tcPr>
                  <w:tcW w:w="2085" w:type="dxa"/>
                  <w:vAlign w:val="center"/>
                </w:tcPr>
                <w:p w14:paraId="4D39F2FB">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val="0"/>
                      <w:color w:val="auto"/>
                      <w:kern w:val="0"/>
                      <w:sz w:val="24"/>
                      <w:szCs w:val="24"/>
                    </w:rPr>
                    <w:t>仪器型号</w:t>
                  </w:r>
                </w:p>
              </w:tc>
            </w:tr>
            <w:tr w14:paraId="091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9" w:type="dxa"/>
                  <w:vAlign w:val="center"/>
                </w:tcPr>
                <w:p w14:paraId="46E2EB98">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1</w:t>
                  </w:r>
                </w:p>
              </w:tc>
              <w:tc>
                <w:tcPr>
                  <w:tcW w:w="2858" w:type="dxa"/>
                  <w:vAlign w:val="center"/>
                </w:tcPr>
                <w:p w14:paraId="7F8A1D47">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环境空气非甲烷总烃分析仪</w:t>
                  </w:r>
                </w:p>
              </w:tc>
              <w:tc>
                <w:tcPr>
                  <w:tcW w:w="1756" w:type="dxa"/>
                  <w:vAlign w:val="center"/>
                </w:tcPr>
                <w:p w14:paraId="0A6B4A8C">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力合科技</w:t>
                  </w:r>
                </w:p>
              </w:tc>
              <w:tc>
                <w:tcPr>
                  <w:tcW w:w="2085" w:type="dxa"/>
                  <w:vAlign w:val="center"/>
                </w:tcPr>
                <w:p w14:paraId="33872B25">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LFGGC-2013</w:t>
                  </w:r>
                </w:p>
              </w:tc>
            </w:tr>
            <w:tr w14:paraId="0479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9" w:type="dxa"/>
                  <w:vAlign w:val="center"/>
                </w:tcPr>
                <w:p w14:paraId="7DA5BF25">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2</w:t>
                  </w:r>
                </w:p>
              </w:tc>
              <w:tc>
                <w:tcPr>
                  <w:tcW w:w="2858" w:type="dxa"/>
                  <w:vAlign w:val="center"/>
                </w:tcPr>
                <w:p w14:paraId="6AE39484">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氢气发生器</w:t>
                  </w:r>
                </w:p>
              </w:tc>
              <w:tc>
                <w:tcPr>
                  <w:tcW w:w="1756" w:type="dxa"/>
                  <w:vAlign w:val="center"/>
                </w:tcPr>
                <w:p w14:paraId="3ABE6895">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力合科技</w:t>
                  </w:r>
                </w:p>
              </w:tc>
              <w:tc>
                <w:tcPr>
                  <w:tcW w:w="2085" w:type="dxa"/>
                  <w:vAlign w:val="center"/>
                </w:tcPr>
                <w:p w14:paraId="63D056BA">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LHZQ-2012(H2)</w:t>
                  </w:r>
                </w:p>
              </w:tc>
            </w:tr>
            <w:tr w14:paraId="70CA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9" w:type="dxa"/>
                  <w:vAlign w:val="center"/>
                </w:tcPr>
                <w:p w14:paraId="0B3681D1">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3</w:t>
                  </w:r>
                </w:p>
              </w:tc>
              <w:tc>
                <w:tcPr>
                  <w:tcW w:w="2858" w:type="dxa"/>
                  <w:vAlign w:val="center"/>
                </w:tcPr>
                <w:p w14:paraId="3B69D212">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零气发生器</w:t>
                  </w:r>
                </w:p>
              </w:tc>
              <w:tc>
                <w:tcPr>
                  <w:tcW w:w="1756" w:type="dxa"/>
                  <w:vAlign w:val="center"/>
                </w:tcPr>
                <w:p w14:paraId="7FD6A8BD">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力合科技</w:t>
                  </w:r>
                </w:p>
              </w:tc>
              <w:tc>
                <w:tcPr>
                  <w:tcW w:w="2085" w:type="dxa"/>
                  <w:vAlign w:val="center"/>
                </w:tcPr>
                <w:p w14:paraId="4E81F153">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LHZA-2012</w:t>
                  </w:r>
                </w:p>
              </w:tc>
            </w:tr>
            <w:tr w14:paraId="5C82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39" w:type="dxa"/>
                  <w:vAlign w:val="center"/>
                </w:tcPr>
                <w:p w14:paraId="4A6D7093">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4</w:t>
                  </w:r>
                </w:p>
              </w:tc>
              <w:tc>
                <w:tcPr>
                  <w:tcW w:w="2858" w:type="dxa"/>
                  <w:vAlign w:val="center"/>
                </w:tcPr>
                <w:p w14:paraId="1B2E0F6B">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全惰性化精密动态校准仪</w:t>
                  </w:r>
                </w:p>
              </w:tc>
              <w:tc>
                <w:tcPr>
                  <w:tcW w:w="1756" w:type="dxa"/>
                  <w:vAlign w:val="center"/>
                </w:tcPr>
                <w:p w14:paraId="560409FC">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力合科技</w:t>
                  </w:r>
                </w:p>
              </w:tc>
              <w:tc>
                <w:tcPr>
                  <w:tcW w:w="2085" w:type="dxa"/>
                  <w:vAlign w:val="center"/>
                </w:tcPr>
                <w:p w14:paraId="4DE3A2CA">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lang w:val="en-US" w:eastAsia="zh-CN"/>
                    </w:rPr>
                    <w:t>LFGM-2012</w:t>
                  </w:r>
                </w:p>
              </w:tc>
            </w:tr>
          </w:tbl>
          <w:p w14:paraId="02B7AB59">
            <w:pPr>
              <w:tabs>
                <w:tab w:val="left" w:pos="2280"/>
              </w:tabs>
              <w:adjustRightInd/>
              <w:snapToGrid/>
              <w:spacing w:before="0" w:beforeAutospacing="0" w:after="0" w:afterAutospacing="0" w:line="540" w:lineRule="exact"/>
              <w:ind w:left="0" w:right="0" w:firstLine="480" w:firstLineChars="200"/>
              <w:contextualSpacing/>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3.大气降水</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436"/>
              <w:gridCol w:w="2647"/>
              <w:gridCol w:w="2647"/>
            </w:tblGrid>
            <w:tr w14:paraId="6319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03AF6E6">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color w:val="auto"/>
                      <w:sz w:val="24"/>
                      <w:szCs w:val="24"/>
                      <w:vertAlign w:val="baseline"/>
                      <w:lang w:val="en-US" w:eastAsia="zh-CN"/>
                    </w:rPr>
                  </w:pPr>
                  <w:r>
                    <w:rPr>
                      <w:rFonts w:hint="eastAsia" w:ascii="宋体" w:hAnsi="宋体" w:eastAsia="宋体" w:cs="宋体"/>
                      <w:b/>
                      <w:bCs w:val="0"/>
                      <w:color w:val="auto"/>
                      <w:kern w:val="0"/>
                      <w:sz w:val="24"/>
                      <w:szCs w:val="24"/>
                    </w:rPr>
                    <w:t>序号</w:t>
                  </w:r>
                </w:p>
              </w:tc>
              <w:tc>
                <w:tcPr>
                  <w:tcW w:w="1455" w:type="dxa"/>
                  <w:vAlign w:val="center"/>
                </w:tcPr>
                <w:p w14:paraId="34AD6BC0">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color w:val="auto"/>
                      <w:sz w:val="24"/>
                      <w:szCs w:val="24"/>
                      <w:vertAlign w:val="baseline"/>
                      <w:lang w:val="en-US" w:eastAsia="zh-CN"/>
                    </w:rPr>
                  </w:pPr>
                  <w:r>
                    <w:rPr>
                      <w:rFonts w:hint="eastAsia" w:ascii="宋体" w:hAnsi="宋体" w:eastAsia="宋体" w:cs="宋体"/>
                      <w:b/>
                      <w:bCs w:val="0"/>
                      <w:color w:val="auto"/>
                      <w:kern w:val="0"/>
                      <w:sz w:val="24"/>
                      <w:szCs w:val="24"/>
                    </w:rPr>
                    <w:t>城市名称</w:t>
                  </w:r>
                </w:p>
              </w:tc>
              <w:tc>
                <w:tcPr>
                  <w:tcW w:w="2685" w:type="dxa"/>
                  <w:vAlign w:val="center"/>
                </w:tcPr>
                <w:p w14:paraId="5AC28199">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color w:val="auto"/>
                      <w:sz w:val="24"/>
                      <w:szCs w:val="24"/>
                      <w:vertAlign w:val="baseline"/>
                      <w:lang w:val="en-US" w:eastAsia="zh-CN"/>
                    </w:rPr>
                  </w:pPr>
                  <w:r>
                    <w:rPr>
                      <w:rFonts w:hint="eastAsia" w:ascii="宋体" w:hAnsi="宋体" w:eastAsia="宋体" w:cs="宋体"/>
                      <w:b/>
                      <w:bCs w:val="0"/>
                      <w:color w:val="auto"/>
                      <w:kern w:val="0"/>
                      <w:sz w:val="24"/>
                      <w:szCs w:val="24"/>
                    </w:rPr>
                    <w:t>点位名称</w:t>
                  </w:r>
                </w:p>
              </w:tc>
              <w:tc>
                <w:tcPr>
                  <w:tcW w:w="2677" w:type="dxa"/>
                  <w:vAlign w:val="center"/>
                </w:tcPr>
                <w:p w14:paraId="1ACE897C">
                  <w:pPr>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color w:val="auto"/>
                      <w:sz w:val="24"/>
                      <w:szCs w:val="24"/>
                      <w:vertAlign w:val="baseline"/>
                      <w:lang w:val="en-US" w:eastAsia="zh-CN"/>
                    </w:rPr>
                  </w:pPr>
                  <w:r>
                    <w:rPr>
                      <w:rFonts w:hint="eastAsia" w:ascii="宋体" w:hAnsi="宋体" w:eastAsia="宋体" w:cs="宋体"/>
                      <w:b/>
                      <w:bCs w:val="0"/>
                      <w:color w:val="auto"/>
                      <w:kern w:val="0"/>
                      <w:sz w:val="24"/>
                      <w:szCs w:val="24"/>
                    </w:rPr>
                    <w:t>仪器型号</w:t>
                  </w:r>
                </w:p>
              </w:tc>
            </w:tr>
            <w:tr w14:paraId="1B8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738" w:type="dxa"/>
                  <w:vAlign w:val="center"/>
                </w:tcPr>
                <w:p w14:paraId="7C13DB65">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1</w:t>
                  </w:r>
                </w:p>
              </w:tc>
              <w:tc>
                <w:tcPr>
                  <w:tcW w:w="1455" w:type="dxa"/>
                  <w:vAlign w:val="center"/>
                </w:tcPr>
                <w:p w14:paraId="7DF20E1F">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rPr>
                    <w:t>北海市</w:t>
                  </w:r>
                </w:p>
              </w:tc>
              <w:tc>
                <w:tcPr>
                  <w:tcW w:w="2685" w:type="dxa"/>
                  <w:vAlign w:val="center"/>
                </w:tcPr>
                <w:p w14:paraId="55583F5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rPr>
                    <w:t>牛尾岭水库</w:t>
                  </w:r>
                </w:p>
              </w:tc>
              <w:tc>
                <w:tcPr>
                  <w:tcW w:w="2677" w:type="dxa"/>
                  <w:vAlign w:val="center"/>
                </w:tcPr>
                <w:p w14:paraId="21E91F0D">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DIGITEL（瑞士）</w:t>
                  </w:r>
                </w:p>
              </w:tc>
            </w:tr>
            <w:tr w14:paraId="61EB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6EFB62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2</w:t>
                  </w:r>
                </w:p>
              </w:tc>
              <w:tc>
                <w:tcPr>
                  <w:tcW w:w="1455" w:type="dxa"/>
                  <w:vAlign w:val="center"/>
                </w:tcPr>
                <w:p w14:paraId="2D5B41BC">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rPr>
                    <w:t>北海市</w:t>
                  </w:r>
                </w:p>
              </w:tc>
              <w:tc>
                <w:tcPr>
                  <w:tcW w:w="2685" w:type="dxa"/>
                  <w:vAlign w:val="center"/>
                </w:tcPr>
                <w:p w14:paraId="0E15365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rPr>
                    <w:t>龙潭水厂</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lang w:val="en-US"/>
                    </w:rPr>
                    <w:t>新市环保局</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lang w:val="en-US"/>
                    </w:rPr>
                    <w:t>北海工业园</w:t>
                  </w:r>
                </w:p>
              </w:tc>
              <w:tc>
                <w:tcPr>
                  <w:tcW w:w="2677" w:type="dxa"/>
                  <w:vAlign w:val="center"/>
                </w:tcPr>
                <w:p w14:paraId="67373FE0">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ZJC-VIII Pro（恒达）</w:t>
                  </w:r>
                </w:p>
              </w:tc>
            </w:tr>
          </w:tbl>
          <w:p w14:paraId="7829805D">
            <w:pPr>
              <w:pStyle w:val="57"/>
              <w:numPr>
                <w:ilvl w:val="0"/>
                <w:numId w:val="0"/>
              </w:numPr>
              <w:autoSpaceDE/>
              <w:autoSpaceDN/>
              <w:spacing w:before="0" w:beforeAutospacing="0" w:after="0" w:afterAutospacing="0" w:line="560" w:lineRule="exact"/>
              <w:ind w:left="0" w:right="0"/>
              <w:jc w:val="both"/>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eastAsia="zh-CN"/>
              </w:rPr>
              <w:t>（三）区控市级环境空气自动监测站</w:t>
            </w:r>
            <w:r>
              <w:rPr>
                <w:rFonts w:hint="eastAsia" w:ascii="宋体" w:hAnsi="宋体" w:eastAsia="宋体" w:cs="宋体"/>
                <w:b/>
                <w:bCs/>
                <w:color w:val="auto"/>
                <w:sz w:val="24"/>
                <w:szCs w:val="24"/>
                <w:lang w:val="en-US"/>
              </w:rPr>
              <w:t>运行维护工作要求</w:t>
            </w:r>
          </w:p>
          <w:p w14:paraId="4B1B6E52">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运行维护工作目标</w:t>
            </w:r>
          </w:p>
          <w:p w14:paraId="7DF1A3E5">
            <w:pPr>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所获取的各项指标的有效监测数据必须满足（参照）《环境空气质量标准》（GB 3095-2012）中规定的污染物浓度数据有效性最低要求。</w:t>
            </w:r>
          </w:p>
          <w:p w14:paraId="42F90059">
            <w:pPr>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2每季度单站直连国家实时数据和审核数据的入库率达到95%以上。</w:t>
            </w:r>
          </w:p>
          <w:p w14:paraId="1A3D2962">
            <w:pPr>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运行维护任务完成率100%。</w:t>
            </w:r>
          </w:p>
          <w:p w14:paraId="6BD4D688">
            <w:pPr>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异常情况处理率100%。</w:t>
            </w:r>
          </w:p>
          <w:p w14:paraId="40D992A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2.环境空气自动监测站运行维护工作要求</w:t>
            </w:r>
          </w:p>
          <w:p w14:paraId="696148A7">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运行维护工作一般要求</w:t>
            </w:r>
          </w:p>
          <w:p w14:paraId="6222166C">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保持站房内部环境清洁，布置整齐，各仪器设备干净清洁，设备标识清楚。</w:t>
            </w:r>
          </w:p>
          <w:p w14:paraId="7BFE036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保持站房外20m以内的环境清洁。</w:t>
            </w:r>
          </w:p>
          <w:p w14:paraId="27383247">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检查供电和网络通讯情况，保证系统的正常运行。</w:t>
            </w:r>
          </w:p>
          <w:p w14:paraId="4B7D398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保证空调正常工作，站房内温度25±5℃，相对湿度保持在80%RH以下。</w:t>
            </w:r>
          </w:p>
          <w:p w14:paraId="0884109F">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指派专人维护，设备固定牢固，门窗关闭良好，人走关门，非工作人员未经许可不得入内。</w:t>
            </w:r>
          </w:p>
          <w:p w14:paraId="550C0E3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定期检查消防和安全设施</w:t>
            </w:r>
            <w:r>
              <w:rPr>
                <w:rFonts w:hint="eastAsia" w:ascii="宋体" w:hAnsi="宋体" w:eastAsia="宋体" w:cs="宋体"/>
                <w:color w:val="auto"/>
                <w:sz w:val="24"/>
                <w:szCs w:val="24"/>
                <w:lang w:eastAsia="zh-CN"/>
              </w:rPr>
              <w:t>。</w:t>
            </w:r>
          </w:p>
          <w:p w14:paraId="3787AAE5">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每次维护后做好系统运行维护记录</w:t>
            </w:r>
            <w:r>
              <w:rPr>
                <w:rFonts w:hint="eastAsia" w:ascii="宋体" w:hAnsi="宋体" w:eastAsia="宋体" w:cs="宋体"/>
                <w:color w:val="auto"/>
                <w:sz w:val="24"/>
                <w:szCs w:val="24"/>
                <w:lang w:eastAsia="zh-CN"/>
              </w:rPr>
              <w:t>。</w:t>
            </w:r>
          </w:p>
          <w:p w14:paraId="70100E13">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进行维护时，规范操作，注意安全，防止意外发生。</w:t>
            </w:r>
          </w:p>
          <w:p w14:paraId="33446F9D">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2.2每日工作内容</w:t>
            </w:r>
          </w:p>
          <w:p w14:paraId="6CBD6CC5">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rPr>
              <w:t>每天上午和下午两次远程查看区控市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站数据并形成记录，分析监测数据，对站点运行情况进行远程诊断和运行管理，内容包括：</w:t>
            </w:r>
          </w:p>
          <w:p w14:paraId="3E39A5E3">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判断系统数据采集与传输情况</w:t>
            </w:r>
            <w:r>
              <w:rPr>
                <w:rFonts w:hint="eastAsia" w:ascii="宋体" w:hAnsi="宋体" w:eastAsia="宋体" w:cs="宋体"/>
                <w:color w:val="auto"/>
                <w:sz w:val="24"/>
                <w:szCs w:val="24"/>
                <w:lang w:eastAsia="zh-CN"/>
              </w:rPr>
              <w:t>。</w:t>
            </w:r>
          </w:p>
          <w:p w14:paraId="625D4B5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发现监测数据异常，立即通知</w:t>
            </w:r>
            <w:r>
              <w:rPr>
                <w:rFonts w:hint="eastAsia" w:ascii="宋体" w:hAnsi="宋体" w:eastAsia="宋体" w:cs="宋体"/>
                <w:color w:val="auto"/>
                <w:sz w:val="24"/>
                <w:szCs w:val="24"/>
                <w:lang w:val="en-US" w:eastAsia="zh-CN"/>
              </w:rPr>
              <w:t>北海</w:t>
            </w:r>
            <w:r>
              <w:rPr>
                <w:rFonts w:hint="eastAsia" w:ascii="宋体" w:hAnsi="宋体" w:eastAsia="宋体" w:cs="宋体"/>
                <w:color w:val="auto"/>
                <w:sz w:val="24"/>
                <w:szCs w:val="24"/>
              </w:rPr>
              <w:t>中心，在每日6时～23时出现的异常，在4小时内解决（通信线路、电力线路故障除外，但应及时与相关部门联系积极解决）</w:t>
            </w:r>
            <w:r>
              <w:rPr>
                <w:rFonts w:hint="eastAsia" w:ascii="宋体" w:hAnsi="宋体" w:eastAsia="宋体" w:cs="宋体"/>
                <w:color w:val="auto"/>
                <w:sz w:val="24"/>
                <w:szCs w:val="24"/>
                <w:lang w:eastAsia="zh-CN"/>
              </w:rPr>
              <w:t>。</w:t>
            </w:r>
          </w:p>
          <w:p w14:paraId="6682C36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发生重污染天气等特殊情况后，在4小时内开展相应的运行维护工作</w:t>
            </w:r>
            <w:r>
              <w:rPr>
                <w:rFonts w:hint="eastAsia" w:ascii="宋体" w:hAnsi="宋体" w:eastAsia="宋体" w:cs="宋体"/>
                <w:color w:val="auto"/>
                <w:sz w:val="24"/>
                <w:szCs w:val="24"/>
                <w:lang w:eastAsia="zh-CN"/>
              </w:rPr>
              <w:t>。</w:t>
            </w:r>
          </w:p>
          <w:p w14:paraId="09E0A39A">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根据数据分析结果、设备状态参数和仪器故障报警信号，判断仪器运行情况和现场状况；对于非甲烷总烃设备，须检查分析模块的FID温度、柱箱温度、柱前压、保留时间等重要参数是否正常。</w:t>
            </w:r>
          </w:p>
          <w:p w14:paraId="1B60C818">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每日检查数据是否及时上传自治区生态环境监测中心、中国环境监测总站并正常发布，发现数据断网及时恢复。</w:t>
            </w:r>
          </w:p>
          <w:p w14:paraId="470A19FD">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站监测数据进行审核，并将审核数据按时提交</w:t>
            </w:r>
            <w:r>
              <w:rPr>
                <w:rFonts w:hint="eastAsia" w:ascii="宋体" w:hAnsi="宋体" w:eastAsia="宋体" w:cs="宋体"/>
                <w:color w:val="auto"/>
                <w:sz w:val="24"/>
                <w:szCs w:val="24"/>
                <w:lang w:val="en-US" w:eastAsia="zh-CN"/>
              </w:rPr>
              <w:t>报送北海</w:t>
            </w:r>
            <w:r>
              <w:rPr>
                <w:rFonts w:hint="eastAsia" w:ascii="宋体" w:hAnsi="宋体" w:eastAsia="宋体" w:cs="宋体"/>
                <w:color w:val="auto"/>
                <w:sz w:val="24"/>
                <w:szCs w:val="24"/>
              </w:rPr>
              <w:t>中心。</w:t>
            </w:r>
          </w:p>
          <w:p w14:paraId="36BE980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rPr>
              <w:t>每日12时前完成区控空气自动监测站前日各站点原始小时值的审核，报送</w:t>
            </w:r>
            <w:r>
              <w:rPr>
                <w:rFonts w:hint="eastAsia" w:ascii="宋体" w:hAnsi="宋体" w:eastAsia="宋体" w:cs="宋体"/>
                <w:color w:val="auto"/>
                <w:sz w:val="24"/>
                <w:szCs w:val="24"/>
                <w:lang w:val="en-US" w:eastAsia="zh-CN"/>
              </w:rPr>
              <w:t>北海</w:t>
            </w:r>
            <w:r>
              <w:rPr>
                <w:rFonts w:hint="eastAsia" w:ascii="宋体" w:hAnsi="宋体" w:eastAsia="宋体" w:cs="宋体"/>
                <w:color w:val="auto"/>
                <w:sz w:val="24"/>
                <w:szCs w:val="24"/>
              </w:rPr>
              <w:t>中心复核。对复核不通过的数据，需于次日12时前再次审核后上报。再次审核报送的数据仍未通过复核的，以</w:t>
            </w:r>
            <w:r>
              <w:rPr>
                <w:rFonts w:hint="eastAsia" w:ascii="宋体" w:hAnsi="宋体" w:eastAsia="宋体" w:cs="宋体"/>
                <w:color w:val="auto"/>
                <w:sz w:val="24"/>
                <w:szCs w:val="24"/>
                <w:lang w:val="en-US" w:eastAsia="zh-CN"/>
              </w:rPr>
              <w:t>北海</w:t>
            </w:r>
            <w:r>
              <w:rPr>
                <w:rFonts w:hint="eastAsia" w:ascii="宋体" w:hAnsi="宋体" w:eastAsia="宋体" w:cs="宋体"/>
                <w:color w:val="auto"/>
                <w:sz w:val="24"/>
                <w:szCs w:val="24"/>
              </w:rPr>
              <w:t>中心最终复核结果为准。当天因网络故障等原因未能完成数据审核报送的，可顺延1日审核报送，最多顺延2日。每月2日18时前须完成前一月的小时数据审核及复核入库工作。</w:t>
            </w:r>
          </w:p>
          <w:p w14:paraId="4B524DE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2.3每周工作内容</w:t>
            </w:r>
          </w:p>
          <w:p w14:paraId="495F398C">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rPr>
              <w:t>每周至少巡视区控市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站1次，并做好巡查记录，巡检时需要完成的工作包括：</w:t>
            </w:r>
          </w:p>
          <w:p w14:paraId="50952B0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查看区控市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站设备是否齐备，无丢失和损坏；检查接地线路是否可靠，排风排气装置工作是否正常，标准气钢瓶阀门是否漏气，标准气的消耗情况</w:t>
            </w:r>
            <w:r>
              <w:rPr>
                <w:rFonts w:hint="eastAsia" w:ascii="宋体" w:hAnsi="宋体" w:eastAsia="宋体" w:cs="宋体"/>
                <w:color w:val="auto"/>
                <w:sz w:val="24"/>
                <w:szCs w:val="24"/>
                <w:lang w:eastAsia="zh-CN"/>
              </w:rPr>
              <w:t>。</w:t>
            </w:r>
          </w:p>
          <w:p w14:paraId="0A260ADC">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检查采样和排气管路是否有漏气或堵塞现象，各监测仪器采样流量是否正常。</w:t>
            </w:r>
          </w:p>
          <w:p w14:paraId="739C211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检查各监测仪器的运行状况和工作参数，判断是否正常，如有异常情况及时处理，保证仪器运行正常。</w:t>
            </w:r>
          </w:p>
          <w:p w14:paraId="0508FE5F">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和PM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监测仪动态加热装置及采样总管加热装置是否正常工作</w:t>
            </w:r>
            <w:r>
              <w:rPr>
                <w:rFonts w:hint="eastAsia" w:ascii="宋体" w:hAnsi="宋体" w:eastAsia="宋体" w:cs="宋体"/>
                <w:color w:val="auto"/>
                <w:sz w:val="24"/>
                <w:szCs w:val="24"/>
                <w:lang w:eastAsia="zh-CN"/>
              </w:rPr>
              <w:t>。</w:t>
            </w:r>
          </w:p>
          <w:p w14:paraId="0317966F">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对二氧化硫、一氧化碳、臭氧、氮氧化物监测仪进行零点、跨度检查，对PM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和PM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监测仪</w:t>
            </w:r>
            <w:r>
              <w:rPr>
                <w:rFonts w:hint="eastAsia" w:ascii="宋体" w:hAnsi="宋体" w:eastAsia="宋体" w:cs="宋体"/>
                <w:color w:val="auto"/>
                <w:sz w:val="24"/>
                <w:szCs w:val="24"/>
                <w:lang w:val="en-US" w:eastAsia="zh-CN"/>
              </w:rPr>
              <w:t>进行流量检查，</w:t>
            </w:r>
            <w:r>
              <w:rPr>
                <w:rFonts w:hint="eastAsia" w:ascii="宋体" w:hAnsi="宋体" w:eastAsia="宋体" w:cs="宋体"/>
                <w:color w:val="auto"/>
                <w:sz w:val="24"/>
                <w:szCs w:val="24"/>
              </w:rPr>
              <w:t>如果漂移超过国家相关规范要求，需要进行校准或维修。</w:t>
            </w:r>
          </w:p>
          <w:p w14:paraId="7DBAA6FE">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非甲烷总烃设备，须对气相色谱、检测器的参数设置和运行情况进行检查并做好记录，包括氢气发生器、载气、零空气供应情况以及主要性能指标检查，并做好定量保留时间范围校准记录；开展空白检查、标点（甲烷2000ppb和丙烷500ppb）检查，若空白检查测定浓度大于方法检出限或者定量误差超出10%，应进行校准。</w:t>
            </w:r>
          </w:p>
          <w:p w14:paraId="39A4C54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按照仪器说明书要求，对零气发生器进行维护。</w:t>
            </w:r>
          </w:p>
          <w:p w14:paraId="74713758">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检查外部环境是否正常，有没有对测定结果或运行环境存在明显影响的污染源</w:t>
            </w:r>
            <w:r>
              <w:rPr>
                <w:rFonts w:hint="eastAsia" w:ascii="宋体" w:hAnsi="宋体" w:eastAsia="宋体" w:cs="宋体"/>
                <w:color w:val="auto"/>
                <w:sz w:val="24"/>
                <w:szCs w:val="24"/>
                <w:lang w:eastAsia="zh-CN"/>
              </w:rPr>
              <w:t>。</w:t>
            </w:r>
          </w:p>
          <w:p w14:paraId="08AD5D93">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检查电路系统和通讯系统，保证系统供电正常，电压稳定</w:t>
            </w:r>
            <w:r>
              <w:rPr>
                <w:rFonts w:hint="eastAsia" w:ascii="宋体" w:hAnsi="宋体" w:eastAsia="宋体" w:cs="宋体"/>
                <w:color w:val="auto"/>
                <w:sz w:val="24"/>
                <w:szCs w:val="24"/>
                <w:lang w:eastAsia="zh-CN"/>
              </w:rPr>
              <w:t>。</w:t>
            </w:r>
          </w:p>
          <w:p w14:paraId="29E48705">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的通讯系统，保证区控空气自动监测站与远程监控中心的连接正常，数据传输正常。</w:t>
            </w:r>
          </w:p>
          <w:p w14:paraId="11284D0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对仪器显示数据、时间与数据采集仪之间的一致性进行检查和校准。</w:t>
            </w:r>
          </w:p>
          <w:p w14:paraId="2BA45314">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检查监测仪器的采样入口与采样支路管线结合部之间安装的过滤膜的污染情况，至少每2周更换滤膜，每周检查监测仪器散热风扇污染情况，及时清洗。</w:t>
            </w:r>
          </w:p>
          <w:p w14:paraId="3EEF43A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在冬、夏季节注意区控市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站房室内外温差，若温差较大，及时改变站房温度或对采样总管采取适当的控制措施，防止冷凝现象。</w:t>
            </w:r>
          </w:p>
          <w:p w14:paraId="004EFD5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及时清除区控城市站房周围的杂草和积水，当周围树木生长超过规范规定的控制限时，应及时剪除对采样或监测光束有影响的树枝。</w:t>
            </w:r>
          </w:p>
          <w:p w14:paraId="2D68F54E">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经常检查避雷设施是否可靠，区控市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站房屋是否有漏雨现象，气象杆和天线是否被刮坏，站房外围的其它设施是否有损坏或被水淹，如遇到以上问题及时处理，保证系统安全运行。</w:t>
            </w:r>
          </w:p>
          <w:p w14:paraId="79054C7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检查站房的安全设施，做好防火防盗工作。</w:t>
            </w:r>
          </w:p>
          <w:p w14:paraId="1280BFC6">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每周对气象仪器及能见度仪的运行情况进行检查。</w:t>
            </w:r>
          </w:p>
          <w:p w14:paraId="6B1ED5E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每周对颗粒物的采样纸带或滤膜进行检查，如纸带即将用尽或滤膜负载超过规定要求，及时进行更换。</w:t>
            </w:r>
          </w:p>
          <w:p w14:paraId="160AD30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每周检查视频监控系统，并做好视频系统的日常维护。若发现人为干扰干预环境空气质量监测的行为，及时向</w:t>
            </w:r>
            <w:r>
              <w:rPr>
                <w:rFonts w:hint="eastAsia" w:ascii="宋体" w:hAnsi="宋体" w:eastAsia="宋体" w:cs="宋体"/>
                <w:color w:val="auto"/>
                <w:sz w:val="24"/>
                <w:szCs w:val="24"/>
                <w:lang w:val="en-US" w:eastAsia="zh-CN"/>
              </w:rPr>
              <w:t>北海</w:t>
            </w:r>
            <w:r>
              <w:rPr>
                <w:rFonts w:hint="eastAsia" w:ascii="宋体" w:hAnsi="宋体" w:eastAsia="宋体" w:cs="宋体"/>
                <w:color w:val="auto"/>
                <w:sz w:val="24"/>
                <w:szCs w:val="24"/>
              </w:rPr>
              <w:t>中心汇报。</w:t>
            </w:r>
          </w:p>
          <w:p w14:paraId="408BBF78">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每周对站房内外环境卫生进行检查，及时保洁。</w:t>
            </w:r>
          </w:p>
          <w:p w14:paraId="7153BF4E">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2.4每月工作内容</w:t>
            </w:r>
          </w:p>
          <w:p w14:paraId="5FB5520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清洗PM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及PM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采样头，检查β法颗粒物监测仪仪器喷嘴、压环、密封圈等部件。</w:t>
            </w:r>
          </w:p>
          <w:p w14:paraId="2C6069D2">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及PM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监测仪、气态监测仪、非甲烷总烃分析仪、动态校准仪流量，超过国家相关规范要求时进行校准。</w:t>
            </w:r>
          </w:p>
          <w:p w14:paraId="7A56FCDA">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备份数据，包括监测数据、日常的质控核查记录等。</w:t>
            </w:r>
          </w:p>
          <w:p w14:paraId="431B8B32">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2.5每季度工作内容</w:t>
            </w:r>
          </w:p>
          <w:p w14:paraId="44F54F1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采样总管及采样风机每季度至少清洗一次</w:t>
            </w:r>
            <w:r>
              <w:rPr>
                <w:rFonts w:hint="eastAsia" w:ascii="宋体" w:hAnsi="宋体" w:eastAsia="宋体" w:cs="宋体"/>
                <w:color w:val="auto"/>
                <w:sz w:val="24"/>
                <w:szCs w:val="24"/>
                <w:lang w:eastAsia="zh-CN"/>
              </w:rPr>
              <w:t>。</w:t>
            </w:r>
          </w:p>
          <w:p w14:paraId="7DA3908D">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和PM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监测仪器进行标准膜检查，超过国家相关规范要求时，及时进行校准或维修</w:t>
            </w:r>
            <w:r>
              <w:rPr>
                <w:rFonts w:hint="eastAsia" w:ascii="宋体" w:hAnsi="宋体" w:eastAsia="宋体" w:cs="宋体"/>
                <w:color w:val="auto"/>
                <w:sz w:val="24"/>
                <w:szCs w:val="24"/>
                <w:lang w:eastAsia="zh-CN"/>
              </w:rPr>
              <w:t>。</w:t>
            </w:r>
          </w:p>
          <w:p w14:paraId="27396EE1">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采用臭氧传递标准对区控市</w:t>
            </w:r>
            <w:r>
              <w:rPr>
                <w:rFonts w:hint="eastAsia" w:ascii="宋体" w:hAnsi="宋体" w:eastAsia="宋体" w:cs="宋体"/>
                <w:color w:val="auto"/>
                <w:sz w:val="24"/>
                <w:szCs w:val="24"/>
                <w:lang w:val="en-US" w:eastAsia="zh-CN"/>
              </w:rPr>
              <w:t>级</w:t>
            </w:r>
            <w:r>
              <w:rPr>
                <w:rFonts w:hint="eastAsia" w:ascii="宋体" w:hAnsi="宋体" w:eastAsia="宋体" w:cs="宋体"/>
                <w:color w:val="auto"/>
                <w:sz w:val="24"/>
                <w:szCs w:val="24"/>
              </w:rPr>
              <w:t>站臭氧工作标准进行标准传递</w:t>
            </w:r>
            <w:r>
              <w:rPr>
                <w:rFonts w:hint="eastAsia" w:ascii="宋体" w:hAnsi="宋体" w:eastAsia="宋体" w:cs="宋体"/>
                <w:color w:val="auto"/>
                <w:sz w:val="24"/>
                <w:szCs w:val="24"/>
                <w:lang w:eastAsia="zh-CN"/>
              </w:rPr>
              <w:t>。</w:t>
            </w:r>
          </w:p>
          <w:p w14:paraId="09498B9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检查和校准PM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监测仪相对湿度、温度传感器和压力传感器。</w:t>
            </w:r>
          </w:p>
          <w:p w14:paraId="0AF2E922">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对非甲烷总烃分析仪进行多点校准曲线检查，曲线至少包含5点。要求甲烷和非甲烷总烃校准曲线的相关系数R2≥0.999，校准曲线上各浓度点残差与理论浓度的比值应在±10%以内。</w:t>
            </w:r>
          </w:p>
          <w:p w14:paraId="1BDF0960">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2.6每半年工作内容</w:t>
            </w:r>
          </w:p>
          <w:p w14:paraId="355013B6">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对气态污染物监测仪进行多点校准，绘制校准曲线，检验相关系数、斜率和截距</w:t>
            </w:r>
            <w:r>
              <w:rPr>
                <w:rFonts w:hint="eastAsia" w:ascii="宋体" w:hAnsi="宋体" w:eastAsia="宋体" w:cs="宋体"/>
                <w:color w:val="auto"/>
                <w:sz w:val="24"/>
                <w:szCs w:val="24"/>
                <w:lang w:eastAsia="zh-CN"/>
              </w:rPr>
              <w:t>。</w:t>
            </w:r>
          </w:p>
          <w:p w14:paraId="4AE39A3A">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对动态校准仪流量进行多点检查</w:t>
            </w:r>
            <w:r>
              <w:rPr>
                <w:rFonts w:hint="eastAsia" w:ascii="宋体" w:hAnsi="宋体" w:eastAsia="宋体" w:cs="宋体"/>
                <w:color w:val="auto"/>
                <w:sz w:val="24"/>
                <w:szCs w:val="24"/>
                <w:lang w:eastAsia="zh-CN"/>
              </w:rPr>
              <w:t>。</w:t>
            </w:r>
          </w:p>
          <w:p w14:paraId="32A67B64">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更换零气源净化剂和氧化剂，对零气性能进行检查</w:t>
            </w:r>
            <w:r>
              <w:rPr>
                <w:rFonts w:hint="eastAsia" w:ascii="宋体" w:hAnsi="宋体" w:eastAsia="宋体" w:cs="宋体"/>
                <w:color w:val="auto"/>
                <w:sz w:val="24"/>
                <w:szCs w:val="24"/>
                <w:lang w:eastAsia="zh-CN"/>
              </w:rPr>
              <w:t>。</w:t>
            </w:r>
          </w:p>
          <w:p w14:paraId="17DDA219">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对氮氧化物监测仪钼炉转化率进行检查。</w:t>
            </w:r>
          </w:p>
          <w:p w14:paraId="650AC423">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对能见度仪器进行校准。</w:t>
            </w:r>
          </w:p>
          <w:p w14:paraId="754E72BB">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2.7每年工作内容</w:t>
            </w:r>
          </w:p>
          <w:p w14:paraId="10A5081F">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rPr>
            </w:pPr>
            <w:r>
              <w:rPr>
                <w:rFonts w:hint="eastAsia" w:ascii="宋体" w:hAnsi="宋体" w:eastAsia="宋体" w:cs="宋体"/>
                <w:color w:val="auto"/>
                <w:sz w:val="24"/>
                <w:szCs w:val="24"/>
              </w:rPr>
              <w:t>对所有的仪器（包括采样泵）进行预防性维护，按说明书的要求更换耗材和备件。保养与维修后，须进行多点校准、稳定性、准确性和检出限等测定，测定结果须满足国家相关规范要求。</w:t>
            </w:r>
          </w:p>
          <w:p w14:paraId="62A59433">
            <w:pPr>
              <w:tabs>
                <w:tab w:val="left" w:pos="2280"/>
              </w:tabs>
              <w:spacing w:before="0" w:beforeAutospacing="0" w:after="0" w:afterAutospacing="0" w:line="540" w:lineRule="exact"/>
              <w:ind w:left="0" w:right="0" w:firstLine="480" w:firstLineChars="200"/>
              <w:contextualSpacing/>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3.档案管理</w:t>
            </w:r>
          </w:p>
          <w:p w14:paraId="1D1314E6">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rPr>
              <w:t>运维</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应做好日常</w:t>
            </w:r>
            <w:r>
              <w:rPr>
                <w:rFonts w:hint="eastAsia" w:ascii="宋体" w:hAnsi="宋体" w:eastAsia="宋体" w:cs="宋体"/>
                <w:color w:val="auto"/>
                <w:sz w:val="24"/>
                <w:szCs w:val="24"/>
                <w:highlight w:val="none"/>
                <w:lang w:val="en-US" w:eastAsia="zh-CN"/>
              </w:rPr>
              <w:t>运维记录档案的规范管理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按规范要求</w:t>
            </w:r>
            <w:r>
              <w:rPr>
                <w:rFonts w:hint="eastAsia" w:ascii="宋体" w:hAnsi="宋体" w:eastAsia="宋体" w:cs="宋体"/>
                <w:color w:val="auto"/>
                <w:sz w:val="24"/>
                <w:szCs w:val="24"/>
                <w:highlight w:val="none"/>
              </w:rPr>
              <w:t>详细记录两个空气站</w:t>
            </w:r>
            <w:r>
              <w:rPr>
                <w:rFonts w:hint="eastAsia" w:ascii="宋体" w:hAnsi="宋体" w:eastAsia="宋体" w:cs="宋体"/>
                <w:color w:val="auto"/>
                <w:sz w:val="24"/>
                <w:szCs w:val="24"/>
                <w:highlight w:val="none"/>
                <w:lang w:val="en-US" w:eastAsia="zh-CN"/>
              </w:rPr>
              <w:t>点</w:t>
            </w:r>
            <w:r>
              <w:rPr>
                <w:rFonts w:hint="eastAsia" w:ascii="宋体" w:hAnsi="宋体" w:eastAsia="宋体" w:cs="宋体"/>
                <w:color w:val="auto"/>
                <w:sz w:val="24"/>
                <w:szCs w:val="24"/>
                <w:highlight w:val="none"/>
              </w:rPr>
              <w:t>的运维工作，</w:t>
            </w:r>
            <w:r>
              <w:rPr>
                <w:rFonts w:hint="eastAsia" w:ascii="宋体" w:hAnsi="宋体" w:eastAsia="宋体" w:cs="宋体"/>
                <w:color w:val="auto"/>
                <w:sz w:val="24"/>
                <w:szCs w:val="24"/>
                <w:highlight w:val="none"/>
                <w:lang w:val="en-US" w:eastAsia="zh-CN"/>
              </w:rPr>
              <w:t>及时分类</w:t>
            </w:r>
            <w:r>
              <w:rPr>
                <w:rFonts w:hint="eastAsia" w:ascii="宋体" w:hAnsi="宋体" w:eastAsia="宋体" w:cs="宋体"/>
                <w:color w:val="auto"/>
                <w:sz w:val="24"/>
                <w:szCs w:val="24"/>
                <w:highlight w:val="none"/>
              </w:rPr>
              <w:t>归档</w:t>
            </w:r>
            <w:r>
              <w:rPr>
                <w:rFonts w:hint="eastAsia" w:ascii="宋体" w:hAnsi="宋体" w:eastAsia="宋体" w:cs="宋体"/>
                <w:color w:val="auto"/>
                <w:sz w:val="24"/>
                <w:szCs w:val="24"/>
                <w:highlight w:val="none"/>
                <w:lang w:val="en-US" w:eastAsia="zh-CN"/>
              </w:rPr>
              <w:t>装订成册</w:t>
            </w:r>
            <w:r>
              <w:rPr>
                <w:rFonts w:hint="eastAsia" w:ascii="宋体" w:hAnsi="宋体" w:eastAsia="宋体" w:cs="宋体"/>
                <w:color w:val="auto"/>
                <w:sz w:val="24"/>
                <w:szCs w:val="24"/>
                <w:highlight w:val="none"/>
              </w:rPr>
              <w:t>。日常运维中使用的相关记录表格，应当使用自治区生态环境监测中心制定的统一样式表格</w:t>
            </w:r>
            <w:r>
              <w:rPr>
                <w:rFonts w:hint="eastAsia" w:ascii="宋体" w:hAnsi="宋体" w:eastAsia="宋体" w:cs="宋体"/>
                <w:color w:val="auto"/>
                <w:sz w:val="24"/>
                <w:szCs w:val="24"/>
                <w:lang w:eastAsia="zh-CN"/>
              </w:rPr>
              <w:t>。</w:t>
            </w:r>
          </w:p>
          <w:p w14:paraId="5A526CB9">
            <w:pPr>
              <w:pStyle w:val="57"/>
              <w:numPr>
                <w:ilvl w:val="0"/>
                <w:numId w:val="0"/>
              </w:numPr>
              <w:autoSpaceDE/>
              <w:autoSpaceDN/>
              <w:spacing w:before="0" w:beforeAutospacing="0" w:after="0" w:afterAutospacing="0" w:line="560" w:lineRule="exact"/>
              <w:ind w:left="0" w:right="0"/>
              <w:jc w:val="both"/>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（四）大气降水</w:t>
            </w:r>
            <w:r>
              <w:rPr>
                <w:rFonts w:hint="eastAsia" w:ascii="宋体" w:hAnsi="宋体" w:eastAsia="宋体" w:cs="宋体"/>
                <w:b/>
                <w:bCs/>
                <w:color w:val="auto"/>
                <w:sz w:val="24"/>
                <w:szCs w:val="24"/>
                <w:lang w:eastAsia="zh-CN"/>
              </w:rPr>
              <w:t>运维方服务内容和</w:t>
            </w:r>
            <w:r>
              <w:rPr>
                <w:rFonts w:hint="eastAsia" w:ascii="宋体" w:hAnsi="宋体" w:eastAsia="宋体" w:cs="宋体"/>
                <w:b/>
                <w:bCs/>
                <w:color w:val="auto"/>
                <w:sz w:val="24"/>
                <w:szCs w:val="24"/>
              </w:rPr>
              <w:t>监测管理要求</w:t>
            </w:r>
          </w:p>
          <w:p w14:paraId="7F1F4934">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日常运维</w:t>
            </w:r>
            <w:r>
              <w:rPr>
                <w:rFonts w:hint="eastAsia" w:ascii="宋体" w:hAnsi="宋体" w:eastAsia="宋体" w:cs="宋体"/>
                <w:color w:val="auto"/>
                <w:sz w:val="24"/>
                <w:szCs w:val="24"/>
                <w:lang w:eastAsia="zh-CN"/>
              </w:rPr>
              <w:t>主要</w:t>
            </w:r>
            <w:r>
              <w:rPr>
                <w:rFonts w:hint="eastAsia" w:ascii="宋体" w:hAnsi="宋体" w:eastAsia="宋体" w:cs="宋体"/>
                <w:color w:val="auto"/>
                <w:sz w:val="24"/>
                <w:szCs w:val="24"/>
              </w:rPr>
              <w:t>工作</w:t>
            </w:r>
          </w:p>
          <w:p w14:paraId="7EA2CAC1">
            <w:pPr>
              <w:spacing w:before="0" w:beforeAutospacing="0" w:after="0" w:afterAutospacing="0" w:line="360" w:lineRule="auto"/>
              <w:ind w:left="0" w:right="0"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1.1</w:t>
            </w:r>
            <w:r>
              <w:rPr>
                <w:rFonts w:hint="eastAsia" w:ascii="宋体" w:hAnsi="宋体" w:eastAsia="宋体" w:cs="宋体"/>
                <w:b w:val="0"/>
                <w:bCs/>
                <w:color w:val="auto"/>
                <w:sz w:val="24"/>
                <w:szCs w:val="24"/>
              </w:rPr>
              <w:t>每日工作</w:t>
            </w:r>
          </w:p>
          <w:p w14:paraId="41F1CF98">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按照《酸沉降监测技术规范》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HJ/T165-2004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要求清洗采样瓶，晾干备用；准备冷藏箱、样品标签、样品交接记录表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标签内容按照</w:t>
            </w:r>
            <w:r>
              <w:rPr>
                <w:rFonts w:hint="eastAsia" w:ascii="宋体" w:hAnsi="宋体" w:eastAsia="宋体" w:cs="宋体"/>
                <w:color w:val="auto"/>
                <w:sz w:val="24"/>
                <w:szCs w:val="24"/>
                <w:lang w:eastAsia="zh-CN"/>
              </w:rPr>
              <w:t>北海中心</w:t>
            </w:r>
            <w:r>
              <w:rPr>
                <w:rFonts w:hint="eastAsia" w:ascii="宋体" w:hAnsi="宋体" w:eastAsia="宋体" w:cs="宋体"/>
                <w:color w:val="auto"/>
                <w:sz w:val="24"/>
                <w:szCs w:val="24"/>
              </w:rPr>
              <w:t>的要求填写。</w:t>
            </w:r>
          </w:p>
          <w:p w14:paraId="285CFE4F">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每天登录平台查看降水信息，</w:t>
            </w:r>
            <w:r>
              <w:rPr>
                <w:rFonts w:hint="eastAsia" w:ascii="宋体" w:hAnsi="宋体" w:eastAsia="宋体" w:cs="宋体"/>
                <w:color w:val="auto"/>
                <w:sz w:val="24"/>
                <w:szCs w:val="24"/>
              </w:rPr>
              <w:t>按规范收集样品，填写采</w:t>
            </w:r>
            <w:r>
              <w:rPr>
                <w:rFonts w:hint="eastAsia" w:ascii="宋体" w:hAnsi="宋体" w:eastAsia="宋体" w:cs="宋体"/>
                <w:color w:val="auto"/>
                <w:sz w:val="24"/>
                <w:szCs w:val="24"/>
                <w:lang w:eastAsia="zh-CN"/>
              </w:rPr>
              <w:t>样</w:t>
            </w:r>
            <w:r>
              <w:rPr>
                <w:rFonts w:hint="eastAsia" w:ascii="宋体" w:hAnsi="宋体" w:eastAsia="宋体" w:cs="宋体"/>
                <w:color w:val="auto"/>
                <w:sz w:val="24"/>
                <w:szCs w:val="24"/>
              </w:rPr>
              <w:t>送样交接记录表；查看仪器状态</w:t>
            </w:r>
            <w:r>
              <w:rPr>
                <w:rFonts w:hint="eastAsia" w:ascii="宋体" w:hAnsi="宋体" w:eastAsia="宋体" w:cs="宋体"/>
                <w:color w:val="auto"/>
                <w:sz w:val="24"/>
                <w:szCs w:val="24"/>
                <w:lang w:val="en-US" w:eastAsia="zh-CN"/>
              </w:rPr>
              <w:t>和现场降水采集情况</w:t>
            </w:r>
            <w:r>
              <w:rPr>
                <w:rFonts w:hint="eastAsia" w:ascii="宋体" w:hAnsi="宋体" w:eastAsia="宋体" w:cs="宋体"/>
                <w:color w:val="auto"/>
                <w:sz w:val="24"/>
                <w:szCs w:val="24"/>
              </w:rPr>
              <w:t>，确定pH值、电导率、降雨量是否需要实验室分析，并在表格勾选分析项目；观察周围环境，是否存在变化和明显污染源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及时汇报异常情况</w:t>
            </w:r>
            <w:r>
              <w:rPr>
                <w:rFonts w:hint="eastAsia" w:ascii="宋体" w:hAnsi="宋体" w:eastAsia="宋体" w:cs="宋体"/>
                <w:color w:val="auto"/>
                <w:sz w:val="24"/>
                <w:szCs w:val="24"/>
              </w:rPr>
              <w:t>；将采集的样品、采样仪器现场拍照，照片需有经纬度及采样时间的水印。</w:t>
            </w:r>
          </w:p>
          <w:p w14:paraId="52C58692">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放置洗涤干净的仪器收集瓶，恢复原始瓶数量。</w:t>
            </w:r>
          </w:p>
          <w:p w14:paraId="1F16A8A7">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瑞士DIGITEL仪器自动换瓶后，无论是否收集到样品，都需要清洗采样瓶。</w:t>
            </w:r>
          </w:p>
          <w:p w14:paraId="323D2D80">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关闭仪器箱门，并上锁。</w:t>
            </w:r>
          </w:p>
          <w:p w14:paraId="6264082A">
            <w:pPr>
              <w:spacing w:before="0" w:beforeAutospacing="0" w:after="0" w:afterAutospacing="0" w:line="360" w:lineRule="auto"/>
              <w:ind w:left="0" w:right="0"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rPr>
              <w:t>每</w:t>
            </w:r>
            <w:r>
              <w:rPr>
                <w:rFonts w:hint="eastAsia" w:ascii="宋体" w:hAnsi="宋体" w:eastAsia="宋体" w:cs="宋体"/>
                <w:b w:val="0"/>
                <w:bCs/>
                <w:color w:val="auto"/>
                <w:sz w:val="24"/>
                <w:szCs w:val="24"/>
                <w:lang w:val="en-US" w:eastAsia="zh-CN"/>
              </w:rPr>
              <w:t>周</w:t>
            </w:r>
            <w:r>
              <w:rPr>
                <w:rFonts w:hint="eastAsia" w:ascii="宋体" w:hAnsi="宋体" w:eastAsia="宋体" w:cs="宋体"/>
                <w:b w:val="0"/>
                <w:bCs/>
                <w:color w:val="auto"/>
                <w:sz w:val="24"/>
                <w:szCs w:val="24"/>
              </w:rPr>
              <w:t>工作</w:t>
            </w:r>
          </w:p>
          <w:p w14:paraId="6DA84AB6">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雨季（5-10月）</w:t>
            </w:r>
            <w:r>
              <w:rPr>
                <w:rFonts w:hint="eastAsia" w:ascii="宋体" w:hAnsi="宋体" w:eastAsia="宋体" w:cs="宋体"/>
                <w:color w:val="auto"/>
                <w:sz w:val="24"/>
                <w:szCs w:val="24"/>
              </w:rPr>
              <w:t>至少每</w:t>
            </w:r>
            <w:r>
              <w:rPr>
                <w:rFonts w:hint="eastAsia" w:ascii="宋体" w:hAnsi="宋体" w:eastAsia="宋体" w:cs="宋体"/>
                <w:color w:val="auto"/>
                <w:sz w:val="24"/>
                <w:szCs w:val="24"/>
                <w:lang w:val="en-US" w:eastAsia="zh-CN"/>
              </w:rPr>
              <w:t>10天</w:t>
            </w:r>
            <w:r>
              <w:rPr>
                <w:rFonts w:hint="eastAsia" w:ascii="宋体" w:hAnsi="宋体" w:eastAsia="宋体" w:cs="宋体"/>
                <w:color w:val="auto"/>
                <w:sz w:val="24"/>
                <w:szCs w:val="24"/>
              </w:rPr>
              <w:t>进行1次在线设备pH和EC校准</w:t>
            </w:r>
            <w:r>
              <w:rPr>
                <w:rFonts w:hint="eastAsia" w:ascii="宋体" w:hAnsi="宋体" w:eastAsia="宋体" w:cs="宋体"/>
                <w:color w:val="auto"/>
                <w:sz w:val="24"/>
                <w:szCs w:val="24"/>
                <w:lang w:eastAsia="zh-CN"/>
              </w:rPr>
              <w:t>维护，</w:t>
            </w:r>
            <w:r>
              <w:rPr>
                <w:rFonts w:hint="eastAsia" w:ascii="宋体" w:hAnsi="宋体" w:eastAsia="宋体" w:cs="宋体"/>
                <w:color w:val="auto"/>
                <w:sz w:val="24"/>
                <w:szCs w:val="24"/>
                <w:lang w:val="en-US" w:eastAsia="zh-CN"/>
              </w:rPr>
              <w:t>非雨季（11-4月）</w:t>
            </w:r>
            <w:r>
              <w:rPr>
                <w:rFonts w:hint="eastAsia" w:ascii="宋体" w:hAnsi="宋体" w:eastAsia="宋体" w:cs="宋体"/>
                <w:color w:val="auto"/>
                <w:sz w:val="24"/>
                <w:szCs w:val="24"/>
              </w:rPr>
              <w:t>至少每</w:t>
            </w:r>
            <w:r>
              <w:rPr>
                <w:rFonts w:hint="eastAsia" w:ascii="宋体" w:hAnsi="宋体" w:eastAsia="宋体" w:cs="宋体"/>
                <w:color w:val="auto"/>
                <w:sz w:val="24"/>
                <w:szCs w:val="24"/>
                <w:lang w:val="en-US" w:eastAsia="zh-CN"/>
              </w:rPr>
              <w:t>两周</w:t>
            </w:r>
            <w:r>
              <w:rPr>
                <w:rFonts w:hint="eastAsia" w:ascii="宋体" w:hAnsi="宋体" w:eastAsia="宋体" w:cs="宋体"/>
                <w:color w:val="auto"/>
                <w:sz w:val="24"/>
                <w:szCs w:val="24"/>
              </w:rPr>
              <w:t>进行1次在线设备pH和EC校准</w:t>
            </w:r>
            <w:r>
              <w:rPr>
                <w:rFonts w:hint="eastAsia" w:ascii="宋体" w:hAnsi="宋体" w:eastAsia="宋体" w:cs="宋体"/>
                <w:color w:val="auto"/>
                <w:sz w:val="24"/>
                <w:szCs w:val="24"/>
                <w:lang w:eastAsia="zh-CN"/>
              </w:rPr>
              <w:t>维护</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每次</w:t>
            </w:r>
            <w:r>
              <w:rPr>
                <w:rFonts w:hint="eastAsia" w:ascii="宋体" w:hAnsi="宋体" w:eastAsia="宋体" w:cs="宋体"/>
                <w:color w:val="auto"/>
                <w:sz w:val="24"/>
                <w:szCs w:val="24"/>
              </w:rPr>
              <w:t>仪器校准</w:t>
            </w:r>
            <w:r>
              <w:rPr>
                <w:rFonts w:hint="eastAsia" w:ascii="宋体" w:hAnsi="宋体" w:eastAsia="宋体" w:cs="宋体"/>
                <w:color w:val="auto"/>
                <w:sz w:val="24"/>
                <w:szCs w:val="24"/>
                <w:lang w:val="en-US" w:eastAsia="zh-CN"/>
              </w:rPr>
              <w:t>需严格按要求进行多点</w:t>
            </w:r>
            <w:r>
              <w:rPr>
                <w:rFonts w:hint="eastAsia" w:ascii="宋体" w:hAnsi="宋体" w:eastAsia="宋体" w:cs="宋体"/>
                <w:color w:val="auto"/>
                <w:sz w:val="24"/>
                <w:szCs w:val="24"/>
              </w:rPr>
              <w:t>校准</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数据</w:t>
            </w:r>
            <w:r>
              <w:rPr>
                <w:rFonts w:hint="eastAsia" w:ascii="宋体" w:hAnsi="宋体" w:eastAsia="宋体" w:cs="宋体"/>
                <w:color w:val="auto"/>
                <w:sz w:val="24"/>
                <w:szCs w:val="24"/>
                <w:lang w:val="en-US" w:eastAsia="zh-CN"/>
              </w:rPr>
              <w:t>必需符合</w:t>
            </w:r>
            <w:r>
              <w:rPr>
                <w:rFonts w:hint="eastAsia" w:ascii="宋体" w:hAnsi="宋体" w:eastAsia="宋体" w:cs="宋体"/>
                <w:color w:val="auto"/>
                <w:sz w:val="24"/>
                <w:szCs w:val="24"/>
              </w:rPr>
              <w:t>理论值允许的范围（pH±0.1，EC±2%F.S），并做已知浓度值的</w:t>
            </w:r>
            <w:r>
              <w:rPr>
                <w:rFonts w:hint="eastAsia" w:ascii="宋体" w:hAnsi="宋体" w:eastAsia="宋体" w:cs="宋体"/>
                <w:color w:val="auto"/>
                <w:sz w:val="24"/>
                <w:szCs w:val="24"/>
                <w:lang w:val="en-US" w:eastAsia="zh-CN"/>
              </w:rPr>
              <w:t>有证</w:t>
            </w:r>
            <w:r>
              <w:rPr>
                <w:rFonts w:hint="eastAsia" w:ascii="宋体" w:hAnsi="宋体" w:eastAsia="宋体" w:cs="宋体"/>
                <w:color w:val="auto"/>
                <w:sz w:val="24"/>
                <w:szCs w:val="24"/>
              </w:rPr>
              <w:t>标准样品单点测量，如在范围则校准合格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如仪器监测结果超出范围，则</w:t>
            </w:r>
            <w:r>
              <w:rPr>
                <w:rFonts w:hint="eastAsia" w:ascii="宋体" w:hAnsi="宋体" w:eastAsia="宋体" w:cs="宋体"/>
                <w:color w:val="auto"/>
                <w:sz w:val="24"/>
                <w:szCs w:val="24"/>
                <w:lang w:eastAsia="zh-CN"/>
              </w:rPr>
              <w:t>重新</w:t>
            </w:r>
            <w:r>
              <w:rPr>
                <w:rFonts w:hint="eastAsia" w:ascii="宋体" w:hAnsi="宋体" w:eastAsia="宋体" w:cs="宋体"/>
                <w:color w:val="auto"/>
                <w:sz w:val="24"/>
                <w:szCs w:val="24"/>
              </w:rPr>
              <w:t>校准设备，再次测</w:t>
            </w:r>
            <w:r>
              <w:rPr>
                <w:rFonts w:hint="eastAsia" w:ascii="宋体" w:hAnsi="宋体" w:eastAsia="宋体" w:cs="宋体"/>
                <w:color w:val="auto"/>
                <w:sz w:val="24"/>
                <w:szCs w:val="24"/>
                <w:lang w:val="en-US" w:eastAsia="zh-CN"/>
              </w:rPr>
              <w:t>试</w:t>
            </w:r>
            <w:r>
              <w:rPr>
                <w:rFonts w:hint="eastAsia" w:ascii="宋体" w:hAnsi="宋体" w:eastAsia="宋体" w:cs="宋体"/>
                <w:color w:val="auto"/>
                <w:sz w:val="24"/>
                <w:szCs w:val="24"/>
              </w:rPr>
              <w:t>有证标准样品，直到合格为止。</w:t>
            </w:r>
          </w:p>
          <w:p w14:paraId="4E7C5553">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每次校准记录需及时上传到广西壮族自治区酸雨监测质量控制系统，并</w:t>
            </w:r>
            <w:r>
              <w:rPr>
                <w:rFonts w:hint="eastAsia" w:ascii="宋体" w:hAnsi="宋体" w:eastAsia="宋体" w:cs="宋体"/>
                <w:color w:val="auto"/>
                <w:sz w:val="24"/>
                <w:szCs w:val="24"/>
              </w:rPr>
              <w:t>将</w:t>
            </w:r>
            <w:r>
              <w:rPr>
                <w:rFonts w:hint="eastAsia" w:ascii="宋体" w:hAnsi="宋体" w:eastAsia="宋体" w:cs="宋体"/>
                <w:color w:val="auto"/>
                <w:sz w:val="24"/>
                <w:szCs w:val="24"/>
                <w:lang w:val="en-US" w:eastAsia="zh-CN"/>
              </w:rPr>
              <w:t>维护</w:t>
            </w:r>
            <w:r>
              <w:rPr>
                <w:rFonts w:hint="eastAsia" w:ascii="宋体" w:hAnsi="宋体" w:eastAsia="宋体" w:cs="宋体"/>
                <w:color w:val="auto"/>
                <w:sz w:val="24"/>
                <w:szCs w:val="24"/>
              </w:rPr>
              <w:t>校准现场照片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维护保养记录及</w:t>
            </w:r>
            <w:r>
              <w:rPr>
                <w:rFonts w:hint="eastAsia" w:ascii="宋体" w:hAnsi="宋体" w:eastAsia="宋体" w:cs="宋体"/>
                <w:color w:val="auto"/>
                <w:sz w:val="24"/>
                <w:szCs w:val="24"/>
              </w:rPr>
              <w:t>校准记录</w:t>
            </w:r>
            <w:r>
              <w:rPr>
                <w:rFonts w:hint="eastAsia" w:ascii="宋体" w:hAnsi="宋体" w:eastAsia="宋体" w:cs="宋体"/>
                <w:color w:val="auto"/>
                <w:sz w:val="24"/>
                <w:szCs w:val="24"/>
                <w:lang w:val="en-US" w:eastAsia="zh-CN"/>
              </w:rPr>
              <w:t>质版</w:t>
            </w:r>
            <w:r>
              <w:rPr>
                <w:rFonts w:hint="eastAsia" w:ascii="宋体" w:hAnsi="宋体" w:eastAsia="宋体" w:cs="宋体"/>
                <w:color w:val="auto"/>
                <w:sz w:val="24"/>
                <w:szCs w:val="24"/>
              </w:rPr>
              <w:t>表格</w:t>
            </w:r>
            <w:r>
              <w:rPr>
                <w:rFonts w:hint="eastAsia" w:ascii="宋体" w:hAnsi="宋体" w:eastAsia="宋体" w:cs="宋体"/>
                <w:color w:val="auto"/>
                <w:sz w:val="24"/>
                <w:szCs w:val="24"/>
                <w:lang w:val="en-US" w:eastAsia="zh-CN"/>
              </w:rPr>
              <w:t>交给</w:t>
            </w:r>
            <w:r>
              <w:rPr>
                <w:rFonts w:hint="eastAsia" w:ascii="宋体" w:hAnsi="宋体" w:eastAsia="宋体" w:cs="宋体"/>
                <w:color w:val="auto"/>
                <w:sz w:val="24"/>
                <w:szCs w:val="24"/>
                <w:lang w:eastAsia="zh-CN"/>
              </w:rPr>
              <w:t>北海监测中心</w:t>
            </w:r>
            <w:r>
              <w:rPr>
                <w:rFonts w:hint="eastAsia" w:ascii="宋体" w:hAnsi="宋体" w:eastAsia="宋体" w:cs="宋体"/>
                <w:color w:val="auto"/>
                <w:sz w:val="24"/>
                <w:szCs w:val="24"/>
              </w:rPr>
              <w:t>备案。</w:t>
            </w:r>
          </w:p>
          <w:p w14:paraId="2C17AC2C">
            <w:pPr>
              <w:spacing w:before="0" w:beforeAutospacing="0" w:after="0" w:afterAutospacing="0" w:line="360" w:lineRule="auto"/>
              <w:ind w:left="0" w:right="0"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1.3</w:t>
            </w:r>
            <w:r>
              <w:rPr>
                <w:rFonts w:hint="eastAsia" w:ascii="宋体" w:hAnsi="宋体" w:eastAsia="宋体" w:cs="宋体"/>
                <w:b w:val="0"/>
                <w:bCs/>
                <w:color w:val="auto"/>
                <w:sz w:val="24"/>
                <w:szCs w:val="24"/>
              </w:rPr>
              <w:t>每月工作</w:t>
            </w:r>
          </w:p>
          <w:p w14:paraId="4797987E">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每个月至少采集一次样品空白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做法：取两个样品瓶装入去离子水，与降水样品进行同步处理（放入冰箱或加</w:t>
            </w:r>
            <w:r>
              <w:rPr>
                <w:rFonts w:hint="eastAsia" w:ascii="宋体" w:hAnsi="宋体" w:eastAsia="宋体" w:cs="宋体"/>
                <w:color w:val="auto"/>
                <w:sz w:val="24"/>
                <w:szCs w:val="24"/>
                <w:lang w:val="en-US" w:eastAsia="zh-CN"/>
              </w:rPr>
              <w:t>固</w:t>
            </w:r>
            <w:r>
              <w:rPr>
                <w:rFonts w:hint="eastAsia" w:ascii="宋体" w:hAnsi="宋体" w:eastAsia="宋体" w:cs="宋体"/>
                <w:color w:val="auto"/>
                <w:sz w:val="24"/>
                <w:szCs w:val="24"/>
              </w:rPr>
              <w:t>定剂、同步运输等），并在交接记录表中记录采集信息。样品空白</w:t>
            </w:r>
            <w:r>
              <w:rPr>
                <w:rFonts w:hint="eastAsia" w:ascii="宋体" w:hAnsi="宋体" w:eastAsia="宋体" w:cs="宋体"/>
                <w:color w:val="auto"/>
                <w:sz w:val="24"/>
                <w:szCs w:val="24"/>
                <w:lang w:eastAsia="zh-CN"/>
              </w:rPr>
              <w:t>由北海监测中心对其进行</w:t>
            </w:r>
            <w:r>
              <w:rPr>
                <w:rFonts w:hint="eastAsia" w:ascii="宋体" w:hAnsi="宋体" w:eastAsia="宋体" w:cs="宋体"/>
                <w:color w:val="auto"/>
                <w:sz w:val="24"/>
                <w:szCs w:val="24"/>
              </w:rPr>
              <w:t>离子组分分析，分析结果应与分析去离子水相同。否则，</w:t>
            </w:r>
            <w:r>
              <w:rPr>
                <w:rFonts w:hint="eastAsia" w:ascii="宋体" w:hAnsi="宋体" w:eastAsia="宋体" w:cs="宋体"/>
                <w:color w:val="auto"/>
                <w:sz w:val="24"/>
                <w:szCs w:val="24"/>
                <w:lang w:val="en-US" w:eastAsia="zh-CN"/>
              </w:rPr>
              <w:t>运维人员</w:t>
            </w:r>
            <w:r>
              <w:rPr>
                <w:rFonts w:hint="eastAsia" w:ascii="宋体" w:hAnsi="宋体" w:eastAsia="宋体" w:cs="宋体"/>
                <w:color w:val="auto"/>
                <w:sz w:val="24"/>
                <w:szCs w:val="24"/>
              </w:rPr>
              <w:t>应检查去离子水是否合格、样品瓶的清洗是否达到要求、样品瓶盖是否严密等。</w:t>
            </w:r>
          </w:p>
          <w:p w14:paraId="20E17AA8">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按照</w:t>
            </w:r>
            <w:r>
              <w:rPr>
                <w:rFonts w:hint="eastAsia" w:ascii="宋体" w:hAnsi="宋体" w:eastAsia="宋体" w:cs="宋体"/>
                <w:color w:val="auto"/>
                <w:sz w:val="24"/>
                <w:szCs w:val="24"/>
                <w:lang w:eastAsia="zh-CN"/>
              </w:rPr>
              <w:t>北海监测中心</w:t>
            </w:r>
            <w:r>
              <w:rPr>
                <w:rFonts w:hint="eastAsia" w:ascii="宋体" w:hAnsi="宋体" w:eastAsia="宋体" w:cs="宋体"/>
                <w:color w:val="auto"/>
                <w:sz w:val="24"/>
                <w:szCs w:val="24"/>
              </w:rPr>
              <w:t>的计划完成实验室与在线设备pH值</w:t>
            </w:r>
            <w:r>
              <w:rPr>
                <w:rFonts w:hint="eastAsia" w:ascii="宋体" w:hAnsi="宋体" w:eastAsia="宋体" w:cs="宋体"/>
                <w:color w:val="auto"/>
                <w:sz w:val="24"/>
                <w:szCs w:val="24"/>
                <w:lang w:eastAsia="zh-CN"/>
              </w:rPr>
              <w:t>和</w:t>
            </w:r>
            <w:r>
              <w:rPr>
                <w:rFonts w:hint="eastAsia" w:ascii="宋体" w:hAnsi="宋体" w:eastAsia="宋体" w:cs="宋体"/>
                <w:color w:val="auto"/>
                <w:sz w:val="24"/>
                <w:szCs w:val="24"/>
              </w:rPr>
              <w:t>EC值</w:t>
            </w:r>
            <w:r>
              <w:rPr>
                <w:rFonts w:hint="eastAsia" w:ascii="宋体" w:hAnsi="宋体" w:eastAsia="宋体" w:cs="宋体"/>
                <w:color w:val="auto"/>
                <w:sz w:val="24"/>
                <w:szCs w:val="24"/>
                <w:lang w:val="en-US" w:eastAsia="zh-CN"/>
              </w:rPr>
              <w:t>的现场</w:t>
            </w:r>
            <w:r>
              <w:rPr>
                <w:rFonts w:hint="eastAsia" w:ascii="宋体" w:hAnsi="宋体" w:eastAsia="宋体" w:cs="宋体"/>
                <w:color w:val="auto"/>
                <w:sz w:val="24"/>
                <w:szCs w:val="24"/>
              </w:rPr>
              <w:t>比对，</w:t>
            </w:r>
            <w:r>
              <w:rPr>
                <w:rFonts w:hint="eastAsia" w:ascii="宋体" w:hAnsi="宋体" w:eastAsia="宋体" w:cs="宋体"/>
                <w:color w:val="auto"/>
                <w:sz w:val="24"/>
                <w:szCs w:val="24"/>
                <w:lang w:eastAsia="zh-CN"/>
              </w:rPr>
              <w:t>其中</w:t>
            </w:r>
            <w:r>
              <w:rPr>
                <w:rFonts w:hint="eastAsia" w:ascii="宋体" w:hAnsi="宋体" w:eastAsia="宋体" w:cs="宋体"/>
                <w:color w:val="auto"/>
                <w:sz w:val="24"/>
                <w:szCs w:val="24"/>
              </w:rPr>
              <w:t>pH值偏差</w:t>
            </w:r>
            <w:r>
              <w:rPr>
                <w:rFonts w:hint="eastAsia" w:ascii="宋体" w:hAnsi="宋体" w:eastAsia="宋体" w:cs="宋体"/>
                <w:color w:val="auto"/>
                <w:sz w:val="24"/>
                <w:szCs w:val="24"/>
                <w:lang w:eastAsia="zh-CN"/>
              </w:rPr>
              <w:t>范围为</w:t>
            </w:r>
            <w:r>
              <w:rPr>
                <w:rFonts w:hint="eastAsia" w:ascii="宋体" w:hAnsi="宋体" w:eastAsia="宋体" w:cs="宋体"/>
                <w:color w:val="auto"/>
                <w:sz w:val="24"/>
                <w:szCs w:val="24"/>
              </w:rPr>
              <w:t>±0.3个pH单位</w:t>
            </w:r>
            <w:r>
              <w:rPr>
                <w:rFonts w:hint="eastAsia" w:ascii="宋体" w:hAnsi="宋体" w:eastAsia="宋体" w:cs="宋体"/>
                <w:color w:val="auto"/>
                <w:sz w:val="24"/>
                <w:szCs w:val="24"/>
                <w:lang w:eastAsia="zh-CN"/>
              </w:rPr>
              <w:t>，比对结果</w:t>
            </w:r>
            <w:r>
              <w:rPr>
                <w:rFonts w:hint="eastAsia" w:ascii="宋体" w:hAnsi="宋体" w:eastAsia="宋体" w:cs="宋体"/>
                <w:color w:val="auto"/>
                <w:sz w:val="24"/>
                <w:szCs w:val="24"/>
                <w:lang w:val="en-US" w:eastAsia="zh-CN"/>
              </w:rPr>
              <w:t>不合格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运维人员需当天到现场排查原因，做好</w:t>
            </w:r>
            <w:r>
              <w:rPr>
                <w:rFonts w:hint="eastAsia" w:ascii="宋体" w:hAnsi="宋体" w:eastAsia="宋体" w:cs="宋体"/>
                <w:color w:val="auto"/>
                <w:sz w:val="24"/>
                <w:szCs w:val="24"/>
              </w:rPr>
              <w:t>仪器调试</w:t>
            </w:r>
            <w:r>
              <w:rPr>
                <w:rFonts w:hint="eastAsia" w:ascii="宋体" w:hAnsi="宋体" w:eastAsia="宋体" w:cs="宋体"/>
                <w:color w:val="auto"/>
                <w:sz w:val="24"/>
                <w:szCs w:val="24"/>
                <w:lang w:eastAsia="zh-CN"/>
              </w:rPr>
              <w:t>校准和有证标准样品测试，</w:t>
            </w:r>
            <w:r>
              <w:rPr>
                <w:rFonts w:hint="eastAsia" w:ascii="宋体" w:hAnsi="宋体" w:eastAsia="宋体" w:cs="宋体"/>
                <w:color w:val="auto"/>
                <w:sz w:val="24"/>
                <w:szCs w:val="24"/>
              </w:rPr>
              <w:t>直到</w:t>
            </w:r>
            <w:r>
              <w:rPr>
                <w:rFonts w:hint="eastAsia" w:ascii="宋体" w:hAnsi="宋体" w:eastAsia="宋体" w:cs="宋体"/>
                <w:color w:val="auto"/>
                <w:sz w:val="24"/>
                <w:szCs w:val="24"/>
                <w:lang w:eastAsia="zh-CN"/>
              </w:rPr>
              <w:t>有证标准样品测试</w:t>
            </w:r>
            <w:r>
              <w:rPr>
                <w:rFonts w:hint="eastAsia" w:ascii="宋体" w:hAnsi="宋体" w:eastAsia="宋体" w:cs="宋体"/>
                <w:color w:val="auto"/>
                <w:sz w:val="24"/>
                <w:szCs w:val="24"/>
              </w:rPr>
              <w:t>合格为止</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受不可抗力影响无法当天到现场的，需及时向</w:t>
            </w:r>
            <w:r>
              <w:rPr>
                <w:rFonts w:hint="eastAsia" w:ascii="宋体" w:hAnsi="宋体" w:eastAsia="宋体" w:cs="宋体"/>
                <w:color w:val="auto"/>
                <w:sz w:val="24"/>
                <w:szCs w:val="24"/>
                <w:lang w:eastAsia="zh-CN"/>
              </w:rPr>
              <w:t>北海监测中心</w:t>
            </w:r>
            <w:r>
              <w:rPr>
                <w:rFonts w:hint="eastAsia" w:ascii="宋体" w:hAnsi="宋体" w:eastAsia="宋体" w:cs="宋体"/>
                <w:color w:val="auto"/>
                <w:sz w:val="24"/>
                <w:szCs w:val="24"/>
                <w:lang w:val="en-US" w:eastAsia="zh-CN"/>
              </w:rPr>
              <w:t>报告，可根据实际情况适当延迟处理</w:t>
            </w:r>
            <w:r>
              <w:rPr>
                <w:rFonts w:hint="eastAsia" w:ascii="宋体" w:hAnsi="宋体" w:eastAsia="宋体" w:cs="宋体"/>
                <w:color w:val="auto"/>
                <w:sz w:val="24"/>
                <w:szCs w:val="24"/>
              </w:rPr>
              <w:t>。</w:t>
            </w:r>
          </w:p>
          <w:p w14:paraId="10F4AB83">
            <w:pPr>
              <w:spacing w:before="0" w:beforeAutospacing="0" w:after="0" w:afterAutospacing="0" w:line="360" w:lineRule="auto"/>
              <w:ind w:left="0" w:right="0"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1.4</w:t>
            </w:r>
            <w:r>
              <w:rPr>
                <w:rFonts w:hint="eastAsia" w:ascii="宋体" w:hAnsi="宋体" w:eastAsia="宋体" w:cs="宋体"/>
                <w:b w:val="0"/>
                <w:bCs/>
                <w:color w:val="auto"/>
                <w:sz w:val="24"/>
                <w:szCs w:val="24"/>
              </w:rPr>
              <w:t>每季度工作</w:t>
            </w:r>
          </w:p>
          <w:p w14:paraId="151A1131">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每季度至少清洗一次仪器的集雨桶和雨量桶。</w:t>
            </w:r>
          </w:p>
          <w:p w14:paraId="0E7A3F49">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清洗干净后采集一个全程序空白样品。做法：实验室的去离子水从集雨器进入样品瓶，然后从采样到样品过滤等操作的全程序空白试验。全程序空白样品</w:t>
            </w:r>
            <w:r>
              <w:rPr>
                <w:rFonts w:hint="eastAsia" w:ascii="宋体" w:hAnsi="宋体" w:eastAsia="宋体" w:cs="宋体"/>
                <w:color w:val="auto"/>
                <w:sz w:val="24"/>
                <w:szCs w:val="24"/>
                <w:lang w:eastAsia="zh-CN"/>
              </w:rPr>
              <w:t>由北海监测中心进行</w:t>
            </w:r>
            <w:r>
              <w:rPr>
                <w:rFonts w:hint="eastAsia" w:ascii="宋体" w:hAnsi="宋体" w:eastAsia="宋体" w:cs="宋体"/>
                <w:color w:val="auto"/>
                <w:sz w:val="24"/>
                <w:szCs w:val="24"/>
              </w:rPr>
              <w:t>分析，如监测结果不合格，</w:t>
            </w:r>
            <w:r>
              <w:rPr>
                <w:rFonts w:hint="eastAsia" w:ascii="宋体" w:hAnsi="宋体" w:eastAsia="宋体" w:cs="宋体"/>
                <w:color w:val="auto"/>
                <w:sz w:val="24"/>
                <w:szCs w:val="24"/>
                <w:lang w:val="en-US" w:eastAsia="zh-CN"/>
              </w:rPr>
              <w:t>运维人员</w:t>
            </w:r>
            <w:r>
              <w:rPr>
                <w:rFonts w:hint="eastAsia" w:ascii="宋体" w:hAnsi="宋体" w:eastAsia="宋体" w:cs="宋体"/>
                <w:color w:val="auto"/>
                <w:sz w:val="24"/>
                <w:szCs w:val="24"/>
                <w:lang w:eastAsia="zh-CN"/>
              </w:rPr>
              <w:t>重新</w:t>
            </w:r>
            <w:r>
              <w:rPr>
                <w:rFonts w:hint="eastAsia" w:ascii="宋体" w:hAnsi="宋体" w:eastAsia="宋体" w:cs="宋体"/>
                <w:color w:val="auto"/>
                <w:sz w:val="24"/>
                <w:szCs w:val="24"/>
              </w:rPr>
              <w:t>清洗集雨桶及雨量桶，并再次分析全程序空白样品。</w:t>
            </w:r>
          </w:p>
          <w:p w14:paraId="0C6AB980">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填写样品交接记录，注明质控措施内容。</w:t>
            </w:r>
          </w:p>
          <w:p w14:paraId="0DF0A8E2">
            <w:pPr>
              <w:spacing w:before="0" w:beforeAutospacing="0" w:after="0" w:afterAutospacing="0" w:line="360" w:lineRule="auto"/>
              <w:ind w:left="0" w:right="0"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仪器维护保养维修工作</w:t>
            </w:r>
          </w:p>
          <w:p w14:paraId="0E1B8BD7">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做好自动监测仪器的日常运行维护保养、仪器故障维修、周边</w:t>
            </w:r>
            <w:r>
              <w:rPr>
                <w:rFonts w:hint="eastAsia" w:ascii="宋体" w:hAnsi="宋体" w:eastAsia="宋体" w:cs="宋体"/>
                <w:color w:val="auto"/>
                <w:sz w:val="24"/>
                <w:szCs w:val="24"/>
                <w:lang w:eastAsia="zh-CN"/>
              </w:rPr>
              <w:t>环境卫生等</w:t>
            </w:r>
            <w:r>
              <w:rPr>
                <w:rFonts w:hint="eastAsia" w:ascii="宋体" w:hAnsi="宋体" w:eastAsia="宋体" w:cs="宋体"/>
                <w:color w:val="auto"/>
                <w:sz w:val="24"/>
                <w:szCs w:val="24"/>
                <w:lang w:val="en-US" w:eastAsia="zh-CN"/>
              </w:rPr>
              <w:t>工作</w:t>
            </w:r>
            <w:r>
              <w:rPr>
                <w:rFonts w:hint="eastAsia" w:ascii="宋体" w:hAnsi="宋体" w:eastAsia="宋体" w:cs="宋体"/>
                <w:color w:val="auto"/>
                <w:sz w:val="24"/>
                <w:szCs w:val="24"/>
                <w:lang w:eastAsia="zh-CN"/>
              </w:rPr>
              <w:t>，内容包括但不限于系统诊断、故障排除、</w:t>
            </w:r>
            <w:r>
              <w:rPr>
                <w:rFonts w:hint="eastAsia" w:ascii="宋体" w:hAnsi="宋体" w:eastAsia="宋体" w:cs="宋体"/>
                <w:color w:val="auto"/>
                <w:sz w:val="24"/>
                <w:szCs w:val="24"/>
                <w:lang w:val="en-US" w:eastAsia="zh-CN"/>
              </w:rPr>
              <w:t>更换配件耗材、标定pH及电导率、</w:t>
            </w:r>
            <w:r>
              <w:rPr>
                <w:rFonts w:hint="eastAsia" w:ascii="宋体" w:hAnsi="宋体" w:eastAsia="宋体" w:cs="宋体"/>
                <w:color w:val="auto"/>
                <w:sz w:val="24"/>
                <w:szCs w:val="24"/>
                <w:lang w:eastAsia="zh-CN"/>
              </w:rPr>
              <w:t>添加</w:t>
            </w:r>
            <w:r>
              <w:rPr>
                <w:rFonts w:hint="eastAsia" w:ascii="宋体" w:hAnsi="宋体" w:eastAsia="宋体" w:cs="宋体"/>
                <w:color w:val="auto"/>
                <w:sz w:val="24"/>
                <w:szCs w:val="24"/>
                <w:lang w:val="en-US" w:eastAsia="zh-CN"/>
              </w:rPr>
              <w:t>保护液、添加清洗液、清洗管路、数据传输、24小时电话咨询服务等，提供中标产品所需</w:t>
            </w:r>
            <w:r>
              <w:rPr>
                <w:rFonts w:hint="eastAsia" w:ascii="宋体" w:hAnsi="宋体" w:eastAsia="宋体" w:cs="宋体"/>
                <w:color w:val="auto"/>
                <w:sz w:val="24"/>
                <w:szCs w:val="24"/>
                <w:lang w:eastAsia="zh-CN"/>
              </w:rPr>
              <w:t>原厂</w:t>
            </w:r>
            <w:r>
              <w:rPr>
                <w:rFonts w:hint="eastAsia" w:ascii="宋体" w:hAnsi="宋体" w:eastAsia="宋体" w:cs="宋体"/>
                <w:color w:val="auto"/>
                <w:sz w:val="24"/>
                <w:szCs w:val="24"/>
                <w:lang w:val="en-US" w:eastAsia="zh-CN"/>
              </w:rPr>
              <w:t>同品牌同型号且</w:t>
            </w:r>
            <w:r>
              <w:rPr>
                <w:rFonts w:hint="eastAsia" w:ascii="宋体" w:hAnsi="宋体" w:eastAsia="宋体" w:cs="宋体"/>
                <w:color w:val="auto"/>
                <w:sz w:val="24"/>
                <w:szCs w:val="24"/>
                <w:lang w:eastAsia="zh-CN"/>
              </w:rPr>
              <w:t>同品质耗材、配件，</w:t>
            </w:r>
            <w:r>
              <w:rPr>
                <w:rFonts w:hint="eastAsia" w:ascii="宋体" w:hAnsi="宋体" w:eastAsia="宋体" w:cs="宋体"/>
                <w:color w:val="auto"/>
                <w:sz w:val="24"/>
                <w:szCs w:val="24"/>
                <w:lang w:val="en-US" w:eastAsia="zh-CN"/>
              </w:rPr>
              <w:t>对系统进行必要的升级，</w:t>
            </w:r>
            <w:r>
              <w:rPr>
                <w:rFonts w:hint="eastAsia" w:ascii="宋体" w:hAnsi="宋体" w:eastAsia="宋体" w:cs="宋体"/>
                <w:color w:val="auto"/>
                <w:sz w:val="24"/>
                <w:szCs w:val="24"/>
                <w:lang w:eastAsia="zh-CN"/>
              </w:rPr>
              <w:t>确保</w:t>
            </w:r>
            <w:r>
              <w:rPr>
                <w:rFonts w:hint="eastAsia" w:ascii="宋体" w:hAnsi="宋体" w:eastAsia="宋体" w:cs="宋体"/>
                <w:color w:val="auto"/>
                <w:sz w:val="24"/>
                <w:szCs w:val="24"/>
              </w:rPr>
              <w:t>仪器</w:t>
            </w:r>
            <w:r>
              <w:rPr>
                <w:rFonts w:hint="eastAsia" w:ascii="宋体" w:hAnsi="宋体" w:eastAsia="宋体" w:cs="宋体"/>
                <w:color w:val="auto"/>
                <w:sz w:val="24"/>
                <w:szCs w:val="24"/>
                <w:lang w:eastAsia="zh-CN"/>
              </w:rPr>
              <w:t>正常稳定</w:t>
            </w:r>
            <w:r>
              <w:rPr>
                <w:rFonts w:hint="eastAsia" w:ascii="宋体" w:hAnsi="宋体" w:eastAsia="宋体" w:cs="宋体"/>
                <w:color w:val="auto"/>
                <w:sz w:val="24"/>
                <w:szCs w:val="24"/>
                <w:lang w:val="en-US" w:eastAsia="zh-CN"/>
              </w:rPr>
              <w:t>长效</w:t>
            </w:r>
            <w:r>
              <w:rPr>
                <w:rFonts w:hint="eastAsia" w:ascii="宋体" w:hAnsi="宋体" w:eastAsia="宋体" w:cs="宋体"/>
                <w:color w:val="auto"/>
                <w:sz w:val="24"/>
                <w:szCs w:val="24"/>
                <w:lang w:eastAsia="zh-CN"/>
              </w:rPr>
              <w:t>运行，监测数据真、准、全。</w:t>
            </w:r>
          </w:p>
          <w:p w14:paraId="657F482E">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监测管理要求</w:t>
            </w:r>
          </w:p>
          <w:p w14:paraId="6F0D60E7">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逢雨必采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当日</w:t>
            </w:r>
            <w:r>
              <w:rPr>
                <w:rFonts w:hint="eastAsia" w:ascii="宋体" w:hAnsi="宋体" w:eastAsia="宋体" w:cs="宋体"/>
                <w:color w:val="auto"/>
                <w:sz w:val="24"/>
                <w:szCs w:val="24"/>
              </w:rPr>
              <w:t>上午9:00至次日上午9:00的降</w:t>
            </w:r>
            <w:r>
              <w:rPr>
                <w:rFonts w:hint="eastAsia" w:ascii="宋体" w:hAnsi="宋体" w:eastAsia="宋体" w:cs="宋体"/>
                <w:color w:val="auto"/>
                <w:sz w:val="24"/>
                <w:szCs w:val="24"/>
                <w:lang w:val="en-US" w:eastAsia="zh-CN"/>
              </w:rPr>
              <w:t>水</w:t>
            </w:r>
            <w:r>
              <w:rPr>
                <w:rFonts w:hint="eastAsia" w:ascii="宋体" w:hAnsi="宋体" w:eastAsia="宋体" w:cs="宋体"/>
                <w:color w:val="auto"/>
                <w:sz w:val="24"/>
                <w:szCs w:val="24"/>
              </w:rPr>
              <w:t>视为一个样品，须在次日15时前送到实验室。</w:t>
            </w:r>
          </w:p>
          <w:p w14:paraId="15E0492C">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样品与采样送样记录同时交接，采样送样记录</w:t>
            </w:r>
            <w:r>
              <w:rPr>
                <w:rFonts w:hint="eastAsia" w:ascii="宋体" w:hAnsi="宋体" w:eastAsia="宋体" w:cs="宋体"/>
                <w:color w:val="auto"/>
                <w:sz w:val="24"/>
                <w:szCs w:val="24"/>
                <w:lang w:val="en-US" w:eastAsia="zh-CN"/>
              </w:rPr>
              <w:t>一式两份，北海监测中心和运维方各保存一份</w:t>
            </w:r>
            <w:r>
              <w:rPr>
                <w:rFonts w:hint="eastAsia" w:ascii="宋体" w:hAnsi="宋体" w:eastAsia="宋体" w:cs="宋体"/>
                <w:color w:val="auto"/>
                <w:sz w:val="24"/>
                <w:szCs w:val="24"/>
              </w:rPr>
              <w:t>。</w:t>
            </w:r>
          </w:p>
          <w:p w14:paraId="38B267A0">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采样人员需给接样人员出示手机拍摄的证明照片，证明样品采集的位置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样品的性状。照片水印信息包括：点位经纬度、点位所在地名称、时间信息。照片内容包括：样品量、样品与仪器的合影、仪器与其周边环境。</w:t>
            </w:r>
          </w:p>
          <w:p w14:paraId="08A506D0">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因不可抗拒原因造成的样品采集延迟，该次样品仍需送样，并在送样记录单备注延迟原因。</w:t>
            </w:r>
          </w:p>
          <w:p w14:paraId="71BDEF8B">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平台有降雨量，不管多少必须到现场。样品不足50ml时，需核实在线数据是否有pH值、电导率、降雨量数据，</w:t>
            </w:r>
            <w:r>
              <w:rPr>
                <w:rFonts w:hint="eastAsia" w:ascii="宋体" w:hAnsi="宋体" w:eastAsia="宋体" w:cs="宋体"/>
                <w:color w:val="auto"/>
                <w:sz w:val="24"/>
                <w:szCs w:val="24"/>
                <w:lang w:val="en-US" w:eastAsia="zh-CN"/>
              </w:rPr>
              <w:t>如数据缺失或无效，且降雨量能满足pH、电导率分析的，需采集样品进行手工补测；</w:t>
            </w:r>
            <w:r>
              <w:rPr>
                <w:rFonts w:hint="eastAsia" w:ascii="宋体" w:hAnsi="宋体" w:eastAsia="宋体" w:cs="宋体"/>
                <w:color w:val="auto"/>
                <w:sz w:val="24"/>
                <w:szCs w:val="24"/>
              </w:rPr>
              <w:t>如数据有效，当次可不送样，仍需拍照给</w:t>
            </w:r>
            <w:r>
              <w:rPr>
                <w:rFonts w:hint="eastAsia" w:ascii="宋体" w:hAnsi="宋体" w:eastAsia="宋体" w:cs="宋体"/>
                <w:color w:val="auto"/>
                <w:sz w:val="24"/>
                <w:szCs w:val="24"/>
                <w:lang w:val="en-US" w:eastAsia="zh-CN"/>
              </w:rPr>
              <w:t>北海监测中心</w:t>
            </w:r>
            <w:r>
              <w:rPr>
                <w:rFonts w:hint="eastAsia" w:ascii="宋体" w:hAnsi="宋体" w:eastAsia="宋体" w:cs="宋体"/>
                <w:color w:val="auto"/>
                <w:sz w:val="24"/>
                <w:szCs w:val="24"/>
              </w:rPr>
              <w:t>备查。</w:t>
            </w:r>
          </w:p>
          <w:p w14:paraId="166417D5">
            <w:pP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rPr>
              <w:t>因停电造成仪器无法采集样品，若该点位有备用手工采样器采集的样品，该样品是否由</w:t>
            </w:r>
            <w:r>
              <w:rPr>
                <w:rFonts w:hint="eastAsia" w:ascii="宋体" w:hAnsi="宋体" w:eastAsia="宋体" w:cs="宋体"/>
                <w:color w:val="auto"/>
                <w:sz w:val="24"/>
                <w:szCs w:val="24"/>
                <w:lang w:val="en-US" w:eastAsia="zh-CN"/>
              </w:rPr>
              <w:t>运维人员</w:t>
            </w:r>
            <w:r>
              <w:rPr>
                <w:rFonts w:hint="eastAsia" w:ascii="宋体" w:hAnsi="宋体" w:eastAsia="宋体" w:cs="宋体"/>
                <w:color w:val="auto"/>
                <w:sz w:val="24"/>
                <w:szCs w:val="24"/>
                <w:lang w:val="en-US"/>
              </w:rPr>
              <w:t>采集送样，由</w:t>
            </w:r>
            <w:r>
              <w:rPr>
                <w:rFonts w:hint="eastAsia" w:ascii="宋体" w:hAnsi="宋体" w:eastAsia="宋体" w:cs="宋体"/>
                <w:color w:val="auto"/>
                <w:sz w:val="24"/>
                <w:szCs w:val="24"/>
                <w:lang w:val="en-US" w:eastAsia="zh-CN"/>
              </w:rPr>
              <w:t>北海监测中心</w:t>
            </w:r>
            <w:r>
              <w:rPr>
                <w:rFonts w:hint="eastAsia" w:ascii="宋体" w:hAnsi="宋体" w:eastAsia="宋体" w:cs="宋体"/>
                <w:color w:val="auto"/>
                <w:sz w:val="24"/>
                <w:szCs w:val="24"/>
                <w:lang w:val="en-US"/>
              </w:rPr>
              <w:t>确定，</w:t>
            </w:r>
            <w:r>
              <w:rPr>
                <w:rFonts w:hint="eastAsia" w:ascii="宋体" w:hAnsi="宋体" w:eastAsia="宋体" w:cs="宋体"/>
                <w:color w:val="auto"/>
                <w:sz w:val="24"/>
                <w:szCs w:val="24"/>
                <w:lang w:val="en-US" w:eastAsia="zh-CN"/>
              </w:rPr>
              <w:t>运维人员</w:t>
            </w:r>
            <w:r>
              <w:rPr>
                <w:rFonts w:hint="eastAsia" w:ascii="宋体" w:hAnsi="宋体" w:eastAsia="宋体" w:cs="宋体"/>
                <w:color w:val="auto"/>
                <w:sz w:val="24"/>
                <w:szCs w:val="24"/>
                <w:lang w:val="en-US"/>
              </w:rPr>
              <w:t>需备注样品性状为“手工采样样品”。</w:t>
            </w:r>
          </w:p>
          <w:p w14:paraId="6DE352F3">
            <w:pPr>
              <w:overflowPunct w:val="0"/>
              <w:adjustRightInd/>
              <w:snapToGrid/>
              <w:spacing w:before="0" w:beforeAutospacing="0" w:after="0" w:afterAutospacing="0" w:line="530" w:lineRule="exact"/>
              <w:ind w:left="0" w:right="0" w:firstLine="562" w:firstLineChars="20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lang w:val="en-US" w:eastAsia="zh-CN"/>
              </w:rPr>
              <w:t>三、</w:t>
            </w:r>
            <w:r>
              <w:rPr>
                <w:rFonts w:hint="eastAsia" w:ascii="宋体" w:hAnsi="宋体" w:eastAsia="宋体" w:cs="宋体"/>
                <w:b/>
                <w:bCs/>
                <w:color w:val="auto"/>
                <w:sz w:val="28"/>
                <w:szCs w:val="28"/>
              </w:rPr>
              <w:t>工作要求</w:t>
            </w:r>
          </w:p>
          <w:p w14:paraId="753400A8">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（一）总体要求</w:t>
            </w:r>
          </w:p>
          <w:p w14:paraId="5014AA20">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配合</w:t>
            </w:r>
            <w:r>
              <w:rPr>
                <w:rFonts w:hint="eastAsia" w:ascii="宋体" w:hAnsi="宋体" w:eastAsia="宋体" w:cs="宋体"/>
                <w:color w:val="auto"/>
                <w:sz w:val="24"/>
                <w:szCs w:val="24"/>
                <w:lang w:eastAsia="zh-CN"/>
              </w:rPr>
              <w:t>采购方工作，</w:t>
            </w:r>
            <w:r>
              <w:rPr>
                <w:rFonts w:hint="eastAsia" w:ascii="宋体" w:hAnsi="宋体" w:eastAsia="宋体" w:cs="宋体"/>
                <w:color w:val="auto"/>
                <w:sz w:val="24"/>
                <w:szCs w:val="24"/>
                <w:lang w:val="en-US" w:eastAsia="zh-CN"/>
              </w:rPr>
              <w:t>服从</w:t>
            </w:r>
            <w:r>
              <w:rPr>
                <w:rFonts w:hint="eastAsia" w:ascii="宋体" w:hAnsi="宋体" w:eastAsia="宋体" w:cs="宋体"/>
                <w:color w:val="auto"/>
                <w:sz w:val="24"/>
                <w:szCs w:val="24"/>
                <w:lang w:eastAsia="zh-CN"/>
              </w:rPr>
              <w:t>采购方</w:t>
            </w:r>
            <w:r>
              <w:rPr>
                <w:rFonts w:hint="eastAsia" w:ascii="宋体" w:hAnsi="宋体" w:eastAsia="宋体" w:cs="宋体"/>
                <w:color w:val="auto"/>
                <w:sz w:val="24"/>
                <w:szCs w:val="24"/>
                <w:lang w:val="en-US" w:eastAsia="zh-CN"/>
              </w:rPr>
              <w:t>监管与考核</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对新中标运维方进行环境空气和大气降水自动监测全流程运维业务培训，</w:t>
            </w:r>
            <w:r>
              <w:rPr>
                <w:rFonts w:hint="eastAsia" w:ascii="宋体" w:hAnsi="宋体" w:eastAsia="宋体" w:cs="宋体"/>
                <w:b w:val="0"/>
                <w:bCs w:val="0"/>
                <w:color w:val="auto"/>
                <w:sz w:val="24"/>
                <w:szCs w:val="24"/>
                <w:lang w:val="en-US" w:eastAsia="zh-CN"/>
              </w:rPr>
              <w:t>平稳完成运维</w:t>
            </w:r>
            <w:r>
              <w:rPr>
                <w:rFonts w:hint="eastAsia" w:ascii="宋体" w:hAnsi="宋体" w:eastAsia="宋体" w:cs="宋体"/>
                <w:color w:val="auto"/>
                <w:sz w:val="24"/>
                <w:szCs w:val="24"/>
              </w:rPr>
              <w:t>交接</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lang w:val="en-US" w:eastAsia="zh-CN"/>
              </w:rPr>
              <w:t>按照相关技术规范开展运维工作</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确保自动监测数据真、准、全，</w:t>
            </w:r>
            <w:r>
              <w:rPr>
                <w:rFonts w:hint="eastAsia" w:ascii="宋体" w:hAnsi="宋体" w:eastAsia="宋体" w:cs="宋体"/>
                <w:b w:val="0"/>
                <w:bCs w:val="0"/>
                <w:color w:val="auto"/>
                <w:sz w:val="24"/>
                <w:szCs w:val="24"/>
                <w:lang w:val="en-US" w:eastAsia="zh-CN"/>
              </w:rPr>
              <w:t>对达不到运行维护要求或违规操作的，采购人可根据实际情况延长运维服务或扣减相应运维费，并有权追究相应法律责任。</w:t>
            </w:r>
          </w:p>
          <w:p w14:paraId="762F85BC">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（二）运维方要求</w:t>
            </w:r>
          </w:p>
          <w:p w14:paraId="1D6D1609">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1.具有</w:t>
            </w:r>
            <w:r>
              <w:rPr>
                <w:rFonts w:hint="eastAsia" w:ascii="宋体" w:hAnsi="宋体" w:eastAsia="宋体" w:cs="宋体"/>
                <w:color w:val="auto"/>
                <w:sz w:val="24"/>
                <w:szCs w:val="24"/>
                <w:lang w:val="en-US" w:eastAsia="zh-CN"/>
              </w:rPr>
              <w:t>环境空气和大气降水</w:t>
            </w:r>
            <w:r>
              <w:rPr>
                <w:rFonts w:hint="eastAsia" w:ascii="宋体" w:hAnsi="宋体" w:eastAsia="宋体" w:cs="宋体"/>
                <w:b w:val="0"/>
                <w:bCs w:val="0"/>
                <w:color w:val="auto"/>
                <w:sz w:val="24"/>
                <w:szCs w:val="24"/>
                <w:lang w:val="en-US" w:eastAsia="zh-CN"/>
              </w:rPr>
              <w:t>自动监测成熟运维案例。</w:t>
            </w:r>
          </w:p>
          <w:p w14:paraId="7D9ABF45">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2.具备完善的备机配备、设备配件和耗材供应渠道，严禁使用未经有</w:t>
            </w:r>
            <w:r>
              <w:rPr>
                <w:rFonts w:hint="eastAsia" w:ascii="宋体" w:hAnsi="宋体" w:eastAsia="宋体" w:cs="宋体"/>
                <w:color w:val="auto"/>
                <w:sz w:val="24"/>
                <w:szCs w:val="24"/>
                <w:highlight w:val="none"/>
              </w:rPr>
              <w:t>资质的第三方机构检定合格或劣质备品备件和耗材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清洁对照点和非甲烷总烃</w:t>
            </w:r>
            <w:r>
              <w:rPr>
                <w:rFonts w:hint="eastAsia" w:ascii="宋体" w:hAnsi="宋体" w:eastAsia="宋体" w:cs="宋体"/>
                <w:b w:val="0"/>
                <w:bCs w:val="0"/>
                <w:color w:val="auto"/>
                <w:sz w:val="24"/>
                <w:szCs w:val="24"/>
                <w:lang w:val="en-US" w:eastAsia="zh-CN"/>
              </w:rPr>
              <w:t>优先使用原厂同品牌同型号同品质耗材、配件，大气降水自动仪器所需的耗材、配件必须为原厂同品牌同型号同品质耗材、配件（不包括瑞士DIGITE自动仪pH电极）</w:t>
            </w:r>
            <w:r>
              <w:rPr>
                <w:rFonts w:hint="eastAsia" w:ascii="宋体" w:hAnsi="宋体" w:eastAsia="宋体" w:cs="宋体"/>
                <w:color w:val="auto"/>
                <w:sz w:val="24"/>
                <w:szCs w:val="24"/>
                <w:highlight w:val="none"/>
              </w:rPr>
              <w:t>。</w:t>
            </w:r>
          </w:p>
          <w:p w14:paraId="609712BD">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3.具备</w:t>
            </w:r>
            <w:r>
              <w:rPr>
                <w:rFonts w:hint="eastAsia" w:ascii="宋体" w:hAnsi="宋体" w:eastAsia="宋体" w:cs="宋体"/>
                <w:color w:val="auto"/>
                <w:sz w:val="24"/>
                <w:szCs w:val="24"/>
                <w:lang w:val="en-US" w:eastAsia="zh-CN"/>
              </w:rPr>
              <w:t>环境空气和大气降水</w:t>
            </w:r>
            <w:r>
              <w:rPr>
                <w:rFonts w:hint="eastAsia" w:ascii="宋体" w:hAnsi="宋体" w:eastAsia="宋体" w:cs="宋体"/>
                <w:b w:val="0"/>
                <w:bCs w:val="0"/>
                <w:color w:val="auto"/>
                <w:sz w:val="24"/>
                <w:szCs w:val="24"/>
                <w:lang w:val="en-US" w:eastAsia="zh-CN"/>
              </w:rPr>
              <w:t>自动监测系统运维及管理的人才、技术、后勤保障等，能够熟练操作</w:t>
            </w:r>
            <w:r>
              <w:rPr>
                <w:rFonts w:hint="eastAsia" w:ascii="宋体" w:hAnsi="宋体" w:eastAsia="宋体" w:cs="宋体"/>
                <w:color w:val="auto"/>
                <w:sz w:val="24"/>
                <w:szCs w:val="24"/>
                <w:lang w:val="en-US" w:eastAsia="zh-CN"/>
              </w:rPr>
              <w:t>相应</w:t>
            </w:r>
            <w:r>
              <w:rPr>
                <w:rFonts w:hint="eastAsia" w:ascii="宋体" w:hAnsi="宋体" w:eastAsia="宋体" w:cs="宋体"/>
                <w:b w:val="0"/>
                <w:bCs w:val="0"/>
                <w:color w:val="auto"/>
                <w:sz w:val="24"/>
                <w:szCs w:val="24"/>
                <w:lang w:val="en-US" w:eastAsia="zh-CN"/>
              </w:rPr>
              <w:t>自动监测系统以及解决各类故障和异常情况。</w:t>
            </w:r>
          </w:p>
          <w:p w14:paraId="39FC7599">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在运维期间，运维方应严格按照有关规范和规章制度，对所运维管理的自动监测站点仪器设备进行规范操作、精心维护和必要维修，保证系统及仪器设备的正常稳定有效运行，达到国家环境监测总站、广西壮族自治区生态环境监测中心及北海中心提出的考核指标要求。运维服务方须接受广西壮族自治区生态环境监测中心和北海中心定期或不定期检查与考核。</w:t>
            </w:r>
          </w:p>
          <w:p w14:paraId="609450BE">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5、运维方须承担监测数据的保密责任，没经北海中心同意，不得利用本项目的数据、档案或有关资料以任何方式和渠道对外开展技术交流、业务联系、数据交换等。</w:t>
            </w:r>
          </w:p>
          <w:p w14:paraId="01712839">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6、运维期间,委托运维管理的全部资产（包括设备、软件、配套设施、相关自动监测信息及文档资料）属北海中心所有。运维方不得以任何方式对各类财产进行出售、抵押或转移。</w:t>
            </w:r>
          </w:p>
          <w:p w14:paraId="6EF7377F">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7、在运维过程中由于人为原因造成业主方损失的，由运维方负责赔偿。</w:t>
            </w:r>
          </w:p>
          <w:p w14:paraId="56A66F4C">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8、在运维过程中须严格执行安全生产有关规定，没执行安全生产规定发生的安全事故运维方负全部责任。</w:t>
            </w:r>
          </w:p>
          <w:p w14:paraId="15096AC2">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9、运维方在运维管理期间必须保证仪器设备客观、真实地反映环境空气质量状况，严禁出现擅自调整改动采样管路连接方式、更改仪器参数设置、遮盖雨量计等一切弄虚作假行为。</w:t>
            </w:r>
          </w:p>
          <w:p w14:paraId="5D41E410">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10、运维方在以往的环境监测服务活动中被政府相关部门行政处罚、通报、记不良记录或记过或存在弄虚作假等不良行为记录的公司，不得参加本项目的询价。</w:t>
            </w:r>
          </w:p>
          <w:p w14:paraId="2E991500">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（三）人员要求</w:t>
            </w:r>
          </w:p>
          <w:p w14:paraId="0E742CED">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运维人员至少配备两名，要求常驻在北海市，需具有较强的责任心、较好的团队协作精神、独立运行维护的能力和吃苦耐劳的毅力，具备相应运维经验至少1年且项目运维效果良好。运维期间，原运维人员离职后，新补充的运维人员也要具备相同资质。</w:t>
            </w:r>
          </w:p>
          <w:p w14:paraId="5AA8CD6D">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（四）故障处理要求</w:t>
            </w:r>
          </w:p>
          <w:p w14:paraId="7A5502C5">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运维期、质量保证期内发生技术服务问题，需立即响应，大气站要求依据相关规范在规定时限内解决问题；大气降水站降水期要求4小时内到达甲方现场，36小时内解决出现的问题，非降水期要求72小时内解决出现的问题，因不可抗力因素等特殊情况影响不能按规定时限完成的，及时汇报，征得对方同意，可以适当延长处理时限。牛尾岭水库大气降水自动监测仪要更换原厂核心部件（不包括pH电极）无法1周内完成的，需及时汇报，征得对方同意，可以适当延长更换时间。</w:t>
            </w:r>
          </w:p>
          <w:p w14:paraId="0B5F81D3">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lang w:eastAsia="zh-CN"/>
              </w:rPr>
              <w:t>）其他</w:t>
            </w:r>
            <w:r>
              <w:rPr>
                <w:rFonts w:hint="eastAsia" w:ascii="宋体" w:hAnsi="宋体" w:eastAsia="宋体" w:cs="宋体"/>
                <w:b/>
                <w:bCs/>
                <w:color w:val="auto"/>
                <w:sz w:val="24"/>
                <w:szCs w:val="24"/>
              </w:rPr>
              <w:t>要求</w:t>
            </w:r>
          </w:p>
          <w:p w14:paraId="7A165E39">
            <w:pPr>
              <w:autoSpaceDE/>
              <w:autoSpaceDN/>
              <w:adjustRightInd/>
              <w:snapToGrid/>
              <w:spacing w:before="0" w:beforeAutospacing="0" w:after="0" w:afterAutospacing="0" w:line="560" w:lineRule="exact"/>
              <w:ind w:left="0" w:right="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有效运维期内，环境空气和大气降水</w:t>
            </w:r>
            <w:r>
              <w:rPr>
                <w:rFonts w:hint="eastAsia" w:ascii="宋体" w:hAnsi="宋体" w:eastAsia="宋体" w:cs="宋体"/>
                <w:color w:val="auto"/>
                <w:sz w:val="24"/>
                <w:szCs w:val="24"/>
                <w:lang w:val="en-US"/>
              </w:rPr>
              <w:t>自动监测</w:t>
            </w:r>
            <w:r>
              <w:rPr>
                <w:rFonts w:hint="eastAsia" w:ascii="宋体" w:hAnsi="宋体" w:eastAsia="宋体" w:cs="宋体"/>
                <w:color w:val="auto"/>
                <w:sz w:val="24"/>
                <w:szCs w:val="24"/>
                <w:lang w:val="en-US" w:eastAsia="zh-CN"/>
              </w:rPr>
              <w:t>运行管理如出台新的文件要求，则按照最新要求执行。</w:t>
            </w:r>
          </w:p>
          <w:p w14:paraId="5B00CD5C">
            <w:pPr>
              <w:overflowPunct w:val="0"/>
              <w:spacing w:before="0" w:beforeAutospacing="0" w:after="0" w:afterAutospacing="0" w:line="530" w:lineRule="exact"/>
              <w:ind w:left="0" w:right="0" w:firstLine="562" w:firstLineChars="200"/>
              <w:jc w:val="both"/>
              <w:rPr>
                <w:rFonts w:hint="eastAsia" w:ascii="宋体" w:hAnsi="宋体" w:eastAsia="宋体" w:cs="宋体"/>
                <w:b/>
                <w:bCs/>
                <w:color w:val="auto"/>
                <w:kern w:val="0"/>
                <w:sz w:val="28"/>
                <w:szCs w:val="28"/>
                <w:lang w:val="en-US" w:eastAsia="zh-CN" w:bidi="zh-CN"/>
              </w:rPr>
            </w:pPr>
            <w:r>
              <w:rPr>
                <w:rFonts w:hint="eastAsia" w:ascii="宋体" w:hAnsi="宋体" w:eastAsia="宋体" w:cs="宋体"/>
                <w:b/>
                <w:bCs/>
                <w:color w:val="auto"/>
                <w:kern w:val="0"/>
                <w:sz w:val="28"/>
                <w:szCs w:val="28"/>
                <w:lang w:val="en-US" w:eastAsia="zh-CN" w:bidi="zh-CN"/>
              </w:rPr>
              <w:t>四、考核要求</w:t>
            </w:r>
          </w:p>
          <w:p w14:paraId="39AAF1E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kern w:val="0"/>
                <w:sz w:val="24"/>
                <w:szCs w:val="24"/>
                <w:lang w:val="en-US" w:eastAsia="zh-CN" w:bidi="zh-CN"/>
              </w:rPr>
            </w:pPr>
            <w:r>
              <w:rPr>
                <w:rFonts w:hint="eastAsia" w:ascii="宋体" w:hAnsi="宋体" w:eastAsia="宋体" w:cs="宋体"/>
                <w:b/>
                <w:bCs/>
                <w:color w:val="auto"/>
                <w:kern w:val="0"/>
                <w:sz w:val="24"/>
                <w:szCs w:val="24"/>
                <w:lang w:val="en-US" w:eastAsia="zh-CN" w:bidi="zh-CN"/>
              </w:rPr>
              <w:t>（一）考核办法</w:t>
            </w:r>
          </w:p>
          <w:p w14:paraId="40FAD76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kern w:val="0"/>
                <w:sz w:val="24"/>
                <w:szCs w:val="24"/>
                <w:lang w:val="en-US" w:eastAsia="zh-CN" w:bidi="zh-CN"/>
              </w:rPr>
            </w:pPr>
            <w:r>
              <w:rPr>
                <w:rFonts w:hint="eastAsia" w:ascii="宋体" w:hAnsi="宋体" w:eastAsia="宋体" w:cs="宋体"/>
                <w:b w:val="0"/>
                <w:bCs w:val="0"/>
                <w:color w:val="auto"/>
                <w:kern w:val="0"/>
                <w:sz w:val="24"/>
                <w:szCs w:val="24"/>
                <w:lang w:val="en-US" w:eastAsia="zh-CN" w:bidi="zh-CN"/>
              </w:rPr>
              <w:t>每季度对成交单位绩效考核一次。运维机构所提供的运维服务质量要达到中国环境监测总站、自治区生态环境监测中心和北海中心运维质控要求。</w:t>
            </w:r>
          </w:p>
          <w:p w14:paraId="7A2A853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kern w:val="0"/>
                <w:sz w:val="24"/>
                <w:szCs w:val="24"/>
                <w:lang w:val="en-US" w:eastAsia="zh-CN" w:bidi="zh-CN"/>
              </w:rPr>
            </w:pPr>
            <w:r>
              <w:rPr>
                <w:rFonts w:hint="eastAsia" w:ascii="宋体" w:hAnsi="宋体" w:eastAsia="宋体" w:cs="宋体"/>
                <w:b w:val="0"/>
                <w:bCs w:val="0"/>
                <w:color w:val="auto"/>
                <w:kern w:val="0"/>
                <w:sz w:val="24"/>
                <w:szCs w:val="24"/>
                <w:lang w:val="en-US" w:eastAsia="zh-CN" w:bidi="zh-CN"/>
              </w:rPr>
              <w:t>区控市级环境空气站考核采取百分制、单站考核、单站核算运维费的方式，主要包括单个站点数据有效性、每季度单站直连国家实时数据和审核数据的入库率、日常运行维护的内容、档案管理、后勤保障等，具体详见</w:t>
            </w:r>
            <w:bookmarkStart w:id="48" w:name="OLE_LINK2"/>
            <w:r>
              <w:rPr>
                <w:rFonts w:hint="eastAsia" w:ascii="宋体" w:hAnsi="宋体" w:eastAsia="宋体" w:cs="宋体"/>
                <w:b w:val="0"/>
                <w:bCs w:val="0"/>
                <w:color w:val="auto"/>
                <w:kern w:val="0"/>
                <w:sz w:val="24"/>
                <w:szCs w:val="24"/>
                <w:lang w:val="en-US" w:eastAsia="zh-CN" w:bidi="zh-CN"/>
              </w:rPr>
              <w:t>附表1-2</w:t>
            </w:r>
            <w:bookmarkEnd w:id="48"/>
            <w:r>
              <w:rPr>
                <w:rFonts w:hint="eastAsia" w:ascii="宋体" w:hAnsi="宋体" w:eastAsia="宋体" w:cs="宋体"/>
                <w:b w:val="0"/>
                <w:bCs w:val="0"/>
                <w:color w:val="auto"/>
                <w:kern w:val="0"/>
                <w:sz w:val="24"/>
                <w:szCs w:val="24"/>
                <w:lang w:val="en-US" w:eastAsia="zh-CN" w:bidi="zh-CN"/>
              </w:rPr>
              <w:t>《环境空气自动监测质量现场检查季度评分表（清洁对照点）》《区控环境空气自动监测质量现场检查季度评分表（非甲烷总烃）》。</w:t>
            </w:r>
          </w:p>
          <w:p w14:paraId="3688DC23">
            <w:pPr>
              <w:autoSpaceDE/>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b w:val="0"/>
                <w:bCs w:val="0"/>
                <w:color w:val="auto"/>
                <w:kern w:val="0"/>
                <w:sz w:val="24"/>
                <w:szCs w:val="24"/>
                <w:lang w:val="en-US" w:eastAsia="zh-CN" w:bidi="zh-CN"/>
              </w:rPr>
              <w:t>大气降水站考核采取百分制考核的方式，主要包括站点的日常运行维护、质量控制、网络通讯保障、样品采样送样、故障处理等，具体详见附表3《广西壮族自治区北海生态环境监测中心大气降水自动监测站设备运行维护季度考核评分表》。</w:t>
            </w:r>
          </w:p>
          <w:p w14:paraId="2C6650D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kern w:val="0"/>
                <w:sz w:val="24"/>
                <w:szCs w:val="24"/>
                <w:lang w:val="en-US" w:eastAsia="zh-CN" w:bidi="zh-CN"/>
              </w:rPr>
            </w:pPr>
            <w:r>
              <w:rPr>
                <w:rFonts w:hint="eastAsia" w:ascii="宋体" w:hAnsi="宋体" w:eastAsia="宋体" w:cs="宋体"/>
                <w:b/>
                <w:bCs/>
                <w:color w:val="auto"/>
                <w:kern w:val="0"/>
                <w:sz w:val="24"/>
                <w:szCs w:val="24"/>
                <w:lang w:val="en-US" w:eastAsia="zh-CN" w:bidi="zh-CN"/>
              </w:rPr>
              <w:t>（二）运维费核算方法</w:t>
            </w:r>
          </w:p>
          <w:p w14:paraId="78B4762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kern w:val="0"/>
                <w:sz w:val="24"/>
                <w:szCs w:val="24"/>
                <w:lang w:val="en-US" w:eastAsia="zh-CN" w:bidi="zh-CN"/>
              </w:rPr>
            </w:pPr>
            <w:r>
              <w:rPr>
                <w:rFonts w:hint="eastAsia" w:ascii="宋体" w:hAnsi="宋体" w:eastAsia="宋体" w:cs="宋体"/>
                <w:b w:val="0"/>
                <w:bCs w:val="0"/>
                <w:color w:val="auto"/>
                <w:kern w:val="0"/>
                <w:sz w:val="24"/>
                <w:szCs w:val="24"/>
                <w:lang w:val="en-US" w:eastAsia="zh-CN" w:bidi="zh-CN"/>
              </w:rPr>
              <w:t>清洁对照点、非甲烷总烃站、4个大气降水站为三个考核对象，分别考核，分别核算，每个考核对象当季度考核总分低于或等于80分的，扣减合同总款的5%；80-90分（不含90分）的，扣减合同总款的2%；高于或等于90分的，不予扣减。</w:t>
            </w:r>
          </w:p>
          <w:p w14:paraId="16A0CD6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宋体" w:hAnsi="宋体" w:eastAsia="宋体" w:cs="宋体"/>
                <w:b/>
                <w:bCs/>
                <w:color w:val="auto"/>
                <w:kern w:val="0"/>
                <w:sz w:val="24"/>
                <w:szCs w:val="24"/>
                <w:lang w:val="en-US" w:eastAsia="zh-CN" w:bidi="zh-CN"/>
              </w:rPr>
            </w:pPr>
            <w:r>
              <w:rPr>
                <w:rFonts w:hint="eastAsia" w:ascii="宋体" w:hAnsi="宋体" w:eastAsia="宋体" w:cs="宋体"/>
                <w:b/>
                <w:bCs/>
                <w:color w:val="auto"/>
                <w:kern w:val="0"/>
                <w:sz w:val="24"/>
                <w:szCs w:val="24"/>
                <w:lang w:val="en-US" w:eastAsia="zh-CN" w:bidi="zh-CN"/>
              </w:rPr>
              <w:t>（三）其他规定</w:t>
            </w:r>
          </w:p>
          <w:p w14:paraId="3A809E6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kern w:val="0"/>
                <w:sz w:val="24"/>
                <w:szCs w:val="24"/>
                <w:lang w:val="en-US" w:eastAsia="zh-CN" w:bidi="zh-CN"/>
              </w:rPr>
            </w:pPr>
            <w:r>
              <w:rPr>
                <w:rFonts w:hint="eastAsia" w:ascii="宋体" w:hAnsi="宋体" w:eastAsia="宋体" w:cs="宋体"/>
                <w:b w:val="0"/>
                <w:bCs w:val="0"/>
                <w:color w:val="auto"/>
                <w:kern w:val="0"/>
                <w:sz w:val="24"/>
                <w:szCs w:val="24"/>
                <w:lang w:val="en-US" w:eastAsia="zh-CN" w:bidi="zh-CN"/>
              </w:rPr>
              <w:t>运维单位有下列情形之一的，采购人将扣减合同总款的1%：迟报、漏报或不报审核数据的；拖延、阻碍、拒绝质量检查或飞行检查的；发现采样、分析、数据采集和传输等过程人为干扰，未按要求及时向采购人报告的；因工作疏漏，未发现采样、分析、数据采集和传输等过程人为干扰的；其他不履行规定职责的情形。</w:t>
            </w:r>
          </w:p>
          <w:p w14:paraId="3F4F5E5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宋体" w:hAnsi="宋体" w:eastAsia="宋体" w:cs="宋体"/>
                <w:b w:val="0"/>
                <w:bCs w:val="0"/>
                <w:color w:val="auto"/>
                <w:kern w:val="0"/>
                <w:sz w:val="24"/>
                <w:szCs w:val="24"/>
                <w:lang w:val="en-US" w:eastAsia="zh-CN" w:bidi="zh-CN"/>
              </w:rPr>
            </w:pPr>
            <w:r>
              <w:rPr>
                <w:rFonts w:hint="eastAsia" w:ascii="宋体" w:hAnsi="宋体" w:eastAsia="宋体" w:cs="宋体"/>
                <w:b w:val="0"/>
                <w:bCs w:val="0"/>
                <w:color w:val="auto"/>
                <w:kern w:val="0"/>
                <w:sz w:val="24"/>
                <w:szCs w:val="24"/>
                <w:lang w:val="en-US" w:eastAsia="zh-CN" w:bidi="zh-CN"/>
              </w:rPr>
              <w:t>在质量检查中，发现运维单位未达到中国环境监测总站、自治区生态环境监测中心和北海中心运维质控要求时，根据对数据质量造成的影响程度，采购人将扣减合同总款的1%；如未及时整改，加两倍扣款。</w:t>
            </w:r>
          </w:p>
          <w:p w14:paraId="48BD7F8B">
            <w:pPr>
              <w:adjustRightInd w:val="0"/>
              <w:snapToGrid w:val="0"/>
              <w:spacing w:before="0" w:beforeAutospacing="0" w:after="0" w:afterAutospacing="0"/>
              <w:ind w:left="0" w:right="0"/>
              <w:jc w:val="left"/>
              <w:rPr>
                <w:rFonts w:hint="eastAsia" w:ascii="宋体" w:hAnsi="宋体" w:eastAsia="宋体" w:cs="宋体"/>
                <w:color w:val="auto"/>
                <w:sz w:val="24"/>
                <w:szCs w:val="24"/>
                <w:highlight w:val="none"/>
                <w:lang w:val="en-US" w:eastAsia="zh-CN"/>
              </w:rPr>
            </w:pPr>
          </w:p>
          <w:p w14:paraId="25171842">
            <w:pPr>
              <w:pStyle w:val="11"/>
              <w:spacing w:before="0" w:beforeAutospacing="0" w:after="0" w:afterAutospacing="0"/>
              <w:ind w:left="0" w:right="0"/>
              <w:jc w:val="both"/>
              <w:rPr>
                <w:rFonts w:hint="eastAsia" w:ascii="宋体" w:hAnsi="宋体" w:eastAsia="宋体" w:cs="宋体"/>
                <w:color w:val="auto"/>
                <w:sz w:val="24"/>
                <w:szCs w:val="24"/>
                <w:highlight w:val="none"/>
                <w:lang w:val="en-US" w:eastAsia="zh-CN"/>
              </w:rPr>
            </w:pPr>
          </w:p>
          <w:p w14:paraId="43921724">
            <w:pPr>
              <w:adjustRightInd w:val="0"/>
              <w:snapToGrid w:val="0"/>
              <w:spacing w:before="0" w:beforeAutospacing="0" w:after="0" w:afterAutospacing="0"/>
              <w:ind w:left="0" w:right="0" w:firstLine="480" w:firstLineChars="200"/>
              <w:jc w:val="left"/>
              <w:rPr>
                <w:rFonts w:hint="eastAsia" w:ascii="宋体" w:hAnsi="宋体" w:eastAsia="宋体" w:cs="宋体"/>
                <w:color w:val="auto"/>
                <w:sz w:val="24"/>
                <w:szCs w:val="24"/>
                <w:highlight w:val="none"/>
                <w:vertAlign w:val="baseline"/>
              </w:rPr>
            </w:pPr>
          </w:p>
        </w:tc>
      </w:tr>
      <w:tr w14:paraId="29EE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812" w:type="dxa"/>
            <w:gridSpan w:val="5"/>
            <w:vAlign w:val="center"/>
          </w:tcPr>
          <w:p w14:paraId="06D65413">
            <w:pPr>
              <w:pStyle w:val="9"/>
              <w:spacing w:before="0" w:beforeAutospacing="0" w:after="0" w:afterAutospacing="0"/>
              <w:ind w:left="0" w:right="0"/>
              <w:jc w:val="center"/>
              <w:rPr>
                <w:rFonts w:hint="default" w:ascii="宋体" w:hAnsi="宋体" w:eastAsia="宋体" w:cs="宋体"/>
                <w:color w:val="auto"/>
                <w:sz w:val="21"/>
                <w:szCs w:val="21"/>
                <w:highlight w:val="none"/>
                <w:vertAlign w:val="baseline"/>
                <w:lang w:val="en-US"/>
              </w:rPr>
            </w:pPr>
            <w:r>
              <w:rPr>
                <w:rFonts w:hint="eastAsia" w:ascii="宋体" w:hAnsi="宋体" w:eastAsia="宋体" w:cs="宋体"/>
                <w:b/>
                <w:bCs/>
                <w:color w:val="auto"/>
                <w:sz w:val="21"/>
                <w:szCs w:val="21"/>
                <w:highlight w:val="none"/>
              </w:rPr>
              <w:t>商务</w:t>
            </w:r>
            <w:r>
              <w:rPr>
                <w:rFonts w:hint="eastAsia" w:cs="宋体"/>
                <w:b/>
                <w:bCs/>
                <w:color w:val="auto"/>
                <w:sz w:val="21"/>
                <w:szCs w:val="21"/>
                <w:highlight w:val="none"/>
                <w:lang w:val="en-US" w:eastAsia="zh-CN"/>
              </w:rPr>
              <w:t>部分</w:t>
            </w:r>
          </w:p>
        </w:tc>
      </w:tr>
      <w:tr w14:paraId="6F2D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996" w:type="dxa"/>
            <w:gridSpan w:val="4"/>
            <w:vAlign w:val="center"/>
          </w:tcPr>
          <w:p w14:paraId="23CA0209">
            <w:pPr>
              <w:pStyle w:val="9"/>
              <w:spacing w:before="0" w:beforeAutospacing="0" w:after="0" w:afterAutospacing="0"/>
              <w:ind w:left="0" w:right="0" w:firstLine="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1.运维服务时间</w:t>
            </w:r>
          </w:p>
        </w:tc>
        <w:tc>
          <w:tcPr>
            <w:tcW w:w="6816" w:type="dxa"/>
            <w:vAlign w:val="center"/>
          </w:tcPr>
          <w:p w14:paraId="5BAFE780">
            <w:pPr>
              <w:pStyle w:val="9"/>
              <w:spacing w:before="0" w:beforeAutospacing="0" w:after="0" w:afterAutospacing="0"/>
              <w:ind w:left="0" w:right="0" w:firstLine="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2025年6月1日至2026年5月31日</w:t>
            </w:r>
          </w:p>
        </w:tc>
      </w:tr>
      <w:tr w14:paraId="2A09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996" w:type="dxa"/>
            <w:gridSpan w:val="4"/>
            <w:vAlign w:val="center"/>
          </w:tcPr>
          <w:p w14:paraId="4F6F3ACB">
            <w:pPr>
              <w:pStyle w:val="9"/>
              <w:spacing w:before="0" w:beforeAutospacing="0" w:after="0" w:afterAutospacing="0"/>
              <w:ind w:left="0" w:right="0" w:firstLine="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报价要求</w:t>
            </w:r>
          </w:p>
        </w:tc>
        <w:tc>
          <w:tcPr>
            <w:tcW w:w="6816" w:type="dxa"/>
            <w:vAlign w:val="center"/>
          </w:tcPr>
          <w:p w14:paraId="6E111B22">
            <w:pPr>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本项目实行总承包报价，报价为采购人指定服务范围内的全部价格，至少包括：</w:t>
            </w:r>
          </w:p>
          <w:p w14:paraId="1DC6F5D9">
            <w:pPr>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服务的价格（包括</w:t>
            </w:r>
            <w:r>
              <w:rPr>
                <w:rFonts w:hint="eastAsia" w:ascii="宋体" w:hAnsi="宋体" w:eastAsia="宋体" w:cs="宋体"/>
                <w:color w:val="auto"/>
                <w:sz w:val="21"/>
                <w:szCs w:val="21"/>
                <w:highlight w:val="none"/>
                <w:lang w:val="en-US" w:eastAsia="zh-CN"/>
              </w:rPr>
              <w:t>网络费、耗材费、仪器维修</w:t>
            </w:r>
            <w:r>
              <w:rPr>
                <w:rFonts w:hint="eastAsia" w:ascii="宋体" w:hAnsi="宋体" w:eastAsia="宋体" w:cs="宋体"/>
                <w:color w:val="auto"/>
                <w:sz w:val="21"/>
                <w:szCs w:val="21"/>
                <w:highlight w:val="none"/>
                <w:lang w:val="en-US"/>
              </w:rPr>
              <w:t>费、</w:t>
            </w:r>
            <w:r>
              <w:rPr>
                <w:rFonts w:hint="eastAsia" w:ascii="宋体" w:hAnsi="宋体" w:eastAsia="宋体" w:cs="宋体"/>
                <w:color w:val="auto"/>
                <w:sz w:val="21"/>
                <w:szCs w:val="21"/>
                <w:highlight w:val="none"/>
                <w:lang w:val="en-US" w:eastAsia="zh-CN"/>
              </w:rPr>
              <w:t>维护保养费、材料费、样品采集存储运输费、运维</w:t>
            </w:r>
            <w:r>
              <w:rPr>
                <w:rFonts w:hint="eastAsia" w:ascii="宋体" w:hAnsi="宋体" w:eastAsia="宋体" w:cs="宋体"/>
                <w:color w:val="auto"/>
                <w:sz w:val="21"/>
                <w:szCs w:val="21"/>
                <w:highlight w:val="none"/>
                <w:lang w:val="en-US"/>
              </w:rPr>
              <w:t>人员差旅费</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lang w:val="en-US"/>
              </w:rPr>
              <w:t>劳务费等）</w:t>
            </w:r>
            <w:r>
              <w:rPr>
                <w:rFonts w:hint="eastAsia" w:ascii="宋体" w:hAnsi="宋体" w:eastAsia="宋体" w:cs="宋体"/>
                <w:color w:val="auto"/>
                <w:sz w:val="21"/>
                <w:szCs w:val="21"/>
                <w:highlight w:val="none"/>
                <w:lang w:val="en-US" w:eastAsia="zh-CN"/>
              </w:rPr>
              <w:t>。</w:t>
            </w:r>
          </w:p>
          <w:p w14:paraId="7FC9E8FE">
            <w:pPr>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必要的保险费用和各项税金</w:t>
            </w:r>
            <w:r>
              <w:rPr>
                <w:rFonts w:hint="eastAsia" w:ascii="宋体" w:hAnsi="宋体" w:eastAsia="宋体" w:cs="宋体"/>
                <w:color w:val="auto"/>
                <w:sz w:val="21"/>
                <w:szCs w:val="21"/>
                <w:highlight w:val="none"/>
                <w:lang w:val="en-US" w:eastAsia="zh-CN"/>
              </w:rPr>
              <w:t>。</w:t>
            </w:r>
          </w:p>
          <w:p w14:paraId="167563DC">
            <w:pPr>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rPr>
              <w:t>与本项目有关的其他一切费用。</w:t>
            </w:r>
          </w:p>
          <w:p w14:paraId="480CE61F">
            <w:pPr>
              <w:numPr>
                <w:ilvl w:val="0"/>
                <w:numId w:val="0"/>
              </w:numPr>
              <w:adjustRightInd w:val="0"/>
              <w:snapToGrid w:val="0"/>
              <w:spacing w:before="0" w:beforeAutospacing="0" w:after="0" w:afterAutospacing="0" w:line="360" w:lineRule="auto"/>
              <w:ind w:left="0" w:right="0" w:firstLine="420" w:firstLineChars="200"/>
              <w:jc w:val="both"/>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sz w:val="21"/>
                <w:szCs w:val="21"/>
                <w:highlight w:val="none"/>
                <w:lang w:val="en-US"/>
              </w:rPr>
              <w:t>采购人不再支付成交价格以外的任何费用。</w:t>
            </w:r>
            <w:r>
              <w:rPr>
                <w:rFonts w:hint="eastAsia" w:ascii="宋体" w:hAnsi="宋体" w:eastAsia="宋体" w:cs="宋体"/>
                <w:color w:val="auto"/>
                <w:sz w:val="21"/>
                <w:szCs w:val="21"/>
                <w:highlight w:val="none"/>
                <w:lang w:val="en-US" w:eastAsia="zh-CN"/>
              </w:rPr>
              <w:t>运维服务期间，运维方不能以任何形式外包合同规定的运行维护任务。</w:t>
            </w:r>
          </w:p>
        </w:tc>
      </w:tr>
      <w:tr w14:paraId="619A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996" w:type="dxa"/>
            <w:gridSpan w:val="4"/>
            <w:vAlign w:val="center"/>
          </w:tcPr>
          <w:p w14:paraId="4EC25933">
            <w:pPr>
              <w:pStyle w:val="9"/>
              <w:spacing w:before="0" w:beforeAutospacing="0" w:after="0" w:afterAutospacing="0"/>
              <w:ind w:left="0" w:right="0" w:firstLine="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付款</w:t>
            </w:r>
            <w:r>
              <w:rPr>
                <w:rFonts w:hint="eastAsia" w:cs="宋体"/>
                <w:b/>
                <w:bCs/>
                <w:color w:val="auto"/>
                <w:sz w:val="21"/>
                <w:szCs w:val="21"/>
                <w:highlight w:val="none"/>
                <w:lang w:val="en-US" w:eastAsia="zh-CN"/>
              </w:rPr>
              <w:t>条件</w:t>
            </w:r>
          </w:p>
        </w:tc>
        <w:tc>
          <w:tcPr>
            <w:tcW w:w="6816" w:type="dxa"/>
            <w:vAlign w:val="center"/>
          </w:tcPr>
          <w:p w14:paraId="09726AAF">
            <w:pPr>
              <w:numPr>
                <w:ilvl w:val="0"/>
                <w:numId w:val="0"/>
              </w:numPr>
              <w:adjustRightInd w:val="0"/>
              <w:snapToGrid w:val="0"/>
              <w:spacing w:before="0" w:beforeAutospacing="0" w:after="0" w:afterAutospacing="0" w:line="360" w:lineRule="auto"/>
              <w:ind w:left="0" w:right="0" w:firstLine="420" w:firstLineChars="200"/>
              <w:jc w:val="left"/>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en-US"/>
              </w:rPr>
              <w:t>本项目服务费分</w:t>
            </w:r>
            <w:r>
              <w:rPr>
                <w:rFonts w:hint="eastAsia" w:ascii="宋体" w:hAnsi="宋体" w:eastAsia="宋体" w:cs="宋体"/>
                <w:color w:val="auto"/>
                <w:kern w:val="0"/>
                <w:sz w:val="21"/>
                <w:szCs w:val="21"/>
                <w:highlight w:val="none"/>
                <w:lang w:val="en-US" w:eastAsia="zh-CN"/>
              </w:rPr>
              <w:t>三</w:t>
            </w:r>
            <w:r>
              <w:rPr>
                <w:rFonts w:hint="eastAsia" w:ascii="宋体" w:hAnsi="宋体" w:eastAsia="宋体" w:cs="宋体"/>
                <w:color w:val="auto"/>
                <w:kern w:val="0"/>
                <w:sz w:val="21"/>
                <w:szCs w:val="21"/>
                <w:highlight w:val="none"/>
                <w:lang w:val="en-US"/>
              </w:rPr>
              <w:t>期支付给成交运维</w:t>
            </w:r>
            <w:r>
              <w:rPr>
                <w:rFonts w:hint="eastAsia" w:ascii="宋体" w:hAnsi="宋体" w:eastAsia="宋体" w:cs="宋体"/>
                <w:color w:val="auto"/>
                <w:kern w:val="0"/>
                <w:sz w:val="21"/>
                <w:szCs w:val="21"/>
                <w:highlight w:val="none"/>
                <w:lang w:val="en-US" w:eastAsia="zh-CN"/>
              </w:rPr>
              <w:t>机构</w:t>
            </w:r>
            <w:r>
              <w:rPr>
                <w:rFonts w:hint="eastAsia" w:ascii="宋体" w:hAnsi="宋体" w:eastAsia="宋体" w:cs="宋体"/>
                <w:color w:val="auto"/>
                <w:kern w:val="0"/>
                <w:sz w:val="21"/>
                <w:szCs w:val="21"/>
                <w:highlight w:val="none"/>
                <w:lang w:val="en-US"/>
              </w:rPr>
              <w:t>，第一期</w:t>
            </w:r>
            <w:r>
              <w:rPr>
                <w:rFonts w:hint="eastAsia" w:ascii="宋体" w:hAnsi="宋体" w:eastAsia="宋体" w:cs="宋体"/>
                <w:color w:val="auto"/>
                <w:kern w:val="0"/>
                <w:sz w:val="21"/>
                <w:szCs w:val="21"/>
                <w:highlight w:val="none"/>
                <w:lang w:val="en-US" w:eastAsia="zh-CN"/>
              </w:rPr>
              <w:t>双方</w:t>
            </w:r>
            <w:r>
              <w:rPr>
                <w:rFonts w:hint="eastAsia" w:ascii="宋体" w:hAnsi="宋体" w:eastAsia="宋体" w:cs="宋体"/>
                <w:color w:val="auto"/>
                <w:sz w:val="21"/>
                <w:szCs w:val="21"/>
                <w:highlight w:val="none"/>
                <w:lang w:val="en-US"/>
              </w:rPr>
              <w:t>签订合同</w:t>
            </w:r>
            <w:r>
              <w:rPr>
                <w:rFonts w:hint="eastAsia" w:ascii="宋体" w:hAnsi="宋体" w:eastAsia="宋体" w:cs="宋体"/>
                <w:color w:val="auto"/>
                <w:sz w:val="21"/>
                <w:szCs w:val="21"/>
                <w:highlight w:val="none"/>
                <w:lang w:val="en-US" w:eastAsia="zh-CN"/>
              </w:rPr>
              <w:t>后15</w:t>
            </w:r>
            <w:r>
              <w:rPr>
                <w:rFonts w:hint="eastAsia" w:ascii="宋体" w:hAnsi="宋体" w:eastAsia="宋体" w:cs="宋体"/>
                <w:color w:val="auto"/>
                <w:sz w:val="21"/>
                <w:szCs w:val="21"/>
                <w:highlight w:val="none"/>
                <w:lang w:val="en-US"/>
              </w:rPr>
              <w:t>个工作日内支付合同款的</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0%；</w:t>
            </w:r>
            <w:r>
              <w:rPr>
                <w:rFonts w:hint="eastAsia" w:ascii="宋体" w:hAnsi="宋体" w:eastAsia="宋体" w:cs="宋体"/>
                <w:color w:val="auto"/>
                <w:kern w:val="0"/>
                <w:sz w:val="21"/>
                <w:szCs w:val="21"/>
                <w:highlight w:val="none"/>
                <w:lang w:val="en-US"/>
              </w:rPr>
              <w:t>第二期</w:t>
            </w:r>
            <w:r>
              <w:rPr>
                <w:rFonts w:hint="eastAsia" w:ascii="宋体" w:hAnsi="宋体" w:eastAsia="宋体" w:cs="宋体"/>
                <w:color w:val="auto"/>
                <w:kern w:val="0"/>
                <w:sz w:val="21"/>
                <w:szCs w:val="21"/>
                <w:highlight w:val="none"/>
                <w:lang w:val="en-US" w:eastAsia="zh-CN"/>
              </w:rPr>
              <w:t>在</w:t>
            </w:r>
            <w:r>
              <w:rPr>
                <w:rFonts w:hint="eastAsia" w:ascii="宋体" w:hAnsi="宋体" w:eastAsia="宋体" w:cs="宋体"/>
                <w:color w:val="auto"/>
                <w:sz w:val="21"/>
                <w:szCs w:val="21"/>
                <w:highlight w:val="none"/>
                <w:lang w:val="en-US" w:eastAsia="zh-CN"/>
              </w:rPr>
              <w:t>2025年1</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月底前，</w:t>
            </w:r>
            <w:r>
              <w:rPr>
                <w:rFonts w:hint="eastAsia" w:ascii="宋体" w:hAnsi="宋体" w:eastAsia="宋体" w:cs="宋体"/>
                <w:color w:val="auto"/>
                <w:kern w:val="0"/>
                <w:sz w:val="21"/>
                <w:szCs w:val="21"/>
                <w:highlight w:val="none"/>
                <w:lang w:val="en-US"/>
              </w:rPr>
              <w:t>根据</w:t>
            </w:r>
            <w:r>
              <w:rPr>
                <w:rFonts w:hint="eastAsia" w:ascii="宋体" w:hAnsi="宋体" w:eastAsia="宋体" w:cs="宋体"/>
                <w:color w:val="auto"/>
                <w:kern w:val="0"/>
                <w:sz w:val="21"/>
                <w:szCs w:val="21"/>
                <w:highlight w:val="none"/>
                <w:lang w:val="en-US" w:eastAsia="zh-CN"/>
              </w:rPr>
              <w:t>项目运维质量</w:t>
            </w:r>
            <w:r>
              <w:rPr>
                <w:rFonts w:hint="eastAsia" w:ascii="宋体" w:hAnsi="宋体" w:eastAsia="宋体" w:cs="宋体"/>
                <w:color w:val="auto"/>
                <w:kern w:val="0"/>
                <w:sz w:val="21"/>
                <w:szCs w:val="21"/>
                <w:highlight w:val="none"/>
                <w:lang w:val="en-US"/>
              </w:rPr>
              <w:t>考核结果（运维费核算方法的考核总分）支付合同总价的</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rPr>
              <w:t>0%</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rPr>
              <w:t>第</w:t>
            </w:r>
            <w:r>
              <w:rPr>
                <w:rFonts w:hint="eastAsia" w:ascii="宋体" w:hAnsi="宋体" w:eastAsia="宋体" w:cs="宋体"/>
                <w:color w:val="auto"/>
                <w:kern w:val="0"/>
                <w:sz w:val="21"/>
                <w:szCs w:val="21"/>
                <w:highlight w:val="none"/>
                <w:lang w:val="en-US" w:eastAsia="zh-CN"/>
              </w:rPr>
              <w:t>三</w:t>
            </w:r>
            <w:r>
              <w:rPr>
                <w:rFonts w:hint="eastAsia" w:ascii="宋体" w:hAnsi="宋体" w:eastAsia="宋体" w:cs="宋体"/>
                <w:color w:val="auto"/>
                <w:kern w:val="0"/>
                <w:sz w:val="21"/>
                <w:szCs w:val="21"/>
                <w:highlight w:val="none"/>
                <w:lang w:val="en-US"/>
              </w:rPr>
              <w:t>期</w:t>
            </w:r>
            <w:r>
              <w:rPr>
                <w:rFonts w:hint="eastAsia" w:ascii="宋体" w:hAnsi="宋体" w:eastAsia="宋体" w:cs="宋体"/>
                <w:color w:val="auto"/>
                <w:kern w:val="0"/>
                <w:sz w:val="21"/>
                <w:szCs w:val="21"/>
                <w:highlight w:val="none"/>
                <w:lang w:val="en-US" w:eastAsia="zh-CN"/>
              </w:rPr>
              <w:t>在</w:t>
            </w:r>
            <w:r>
              <w:rPr>
                <w:rFonts w:hint="eastAsia" w:ascii="宋体" w:hAnsi="宋体" w:eastAsia="宋体" w:cs="宋体"/>
                <w:color w:val="auto"/>
                <w:sz w:val="21"/>
                <w:szCs w:val="21"/>
                <w:highlight w:val="none"/>
                <w:lang w:val="en-US" w:eastAsia="zh-CN"/>
              </w:rPr>
              <w:t>服务期满完成所有的运维交接工作后15个工作日内，</w:t>
            </w:r>
            <w:r>
              <w:rPr>
                <w:rFonts w:hint="eastAsia" w:ascii="宋体" w:hAnsi="宋体" w:eastAsia="宋体" w:cs="宋体"/>
                <w:color w:val="auto"/>
                <w:kern w:val="0"/>
                <w:sz w:val="21"/>
                <w:szCs w:val="21"/>
                <w:highlight w:val="none"/>
                <w:lang w:val="en-US"/>
              </w:rPr>
              <w:t>根据考核结果（运维费核算方法的考核总分）支付合同总价的剩余款项</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val="en-US"/>
              </w:rPr>
              <w:t>。对达不到运维要求或违规操作的，</w:t>
            </w:r>
            <w:r>
              <w:rPr>
                <w:rFonts w:hint="eastAsia" w:ascii="宋体" w:hAnsi="宋体" w:eastAsia="宋体" w:cs="宋体"/>
                <w:color w:val="auto"/>
                <w:kern w:val="0"/>
                <w:sz w:val="21"/>
                <w:szCs w:val="21"/>
                <w:highlight w:val="none"/>
                <w:lang w:val="en-US" w:eastAsia="zh-CN"/>
              </w:rPr>
              <w:t>延长运维期或</w:t>
            </w:r>
            <w:r>
              <w:rPr>
                <w:rFonts w:hint="eastAsia" w:ascii="宋体" w:hAnsi="宋体" w:eastAsia="宋体" w:cs="宋体"/>
                <w:color w:val="auto"/>
                <w:kern w:val="0"/>
                <w:sz w:val="21"/>
                <w:szCs w:val="21"/>
                <w:highlight w:val="none"/>
                <w:lang w:val="en-US"/>
              </w:rPr>
              <w:t>扣减相应的运维费</w:t>
            </w:r>
            <w:r>
              <w:rPr>
                <w:rFonts w:hint="eastAsia" w:ascii="宋体" w:hAnsi="宋体" w:eastAsia="宋体" w:cs="宋体"/>
                <w:color w:val="auto"/>
                <w:kern w:val="0"/>
                <w:sz w:val="21"/>
                <w:szCs w:val="21"/>
                <w:highlight w:val="none"/>
                <w:lang w:val="en-US" w:eastAsia="zh-CN"/>
              </w:rPr>
              <w:t>。</w:t>
            </w:r>
          </w:p>
        </w:tc>
      </w:tr>
    </w:tbl>
    <w:p w14:paraId="6681C843">
      <w:pPr>
        <w:bidi w:val="0"/>
        <w:rPr>
          <w:rFonts w:hint="eastAsia"/>
          <w:color w:val="auto"/>
          <w:lang w:val="en-US" w:eastAsia="zh-CN"/>
        </w:rPr>
      </w:pPr>
    </w:p>
    <w:p w14:paraId="29686F5A">
      <w:pPr>
        <w:bidi w:val="0"/>
        <w:rPr>
          <w:rFonts w:hint="eastAsia"/>
          <w:color w:val="auto"/>
          <w:lang w:val="en-US" w:eastAsia="zh-CN"/>
        </w:rPr>
      </w:pPr>
      <w:r>
        <w:rPr>
          <w:rFonts w:hint="eastAsia"/>
          <w:color w:val="auto"/>
          <w:lang w:val="en-US" w:eastAsia="zh-CN"/>
        </w:rPr>
        <w:br w:type="page"/>
      </w:r>
    </w:p>
    <w:p w14:paraId="7FC6C4CB">
      <w:pPr>
        <w:snapToGrid w:val="0"/>
        <w:spacing w:before="156" w:after="156" w:line="400" w:lineRule="exact"/>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附表1</w:t>
      </w:r>
    </w:p>
    <w:p w14:paraId="4D5C11C1">
      <w:pPr>
        <w:snapToGrid w:val="0"/>
        <w:spacing w:before="156" w:after="156" w:line="400" w:lineRule="exact"/>
        <w:ind w:firstLine="643" w:firstLineChars="200"/>
        <w:jc w:val="both"/>
        <w:rPr>
          <w:rFonts w:hint="eastAsia" w:ascii="方正小标宋简体" w:hAnsi="方正小标宋简体" w:eastAsia="方正小标宋简体" w:cs="方正小标宋简体"/>
          <w:b/>
          <w:bCs/>
          <w:color w:val="auto"/>
          <w:sz w:val="32"/>
          <w:szCs w:val="32"/>
          <w:lang w:eastAsia="zh-CN"/>
        </w:rPr>
      </w:pPr>
      <w:r>
        <w:rPr>
          <w:rFonts w:hint="eastAsia" w:ascii="方正小标宋简体" w:hAnsi="方正小标宋简体" w:eastAsia="方正小标宋简体" w:cs="方正小标宋简体"/>
          <w:b/>
          <w:bCs/>
          <w:color w:val="auto"/>
          <w:sz w:val="32"/>
          <w:szCs w:val="32"/>
        </w:rPr>
        <w:t>环境空气自动监测质量现场检查</w:t>
      </w:r>
      <w:r>
        <w:rPr>
          <w:rFonts w:hint="eastAsia" w:ascii="方正小标宋简体" w:hAnsi="方正小标宋简体" w:eastAsia="方正小标宋简体" w:cs="方正小标宋简体"/>
          <w:b/>
          <w:bCs/>
          <w:color w:val="auto"/>
          <w:sz w:val="32"/>
          <w:szCs w:val="32"/>
          <w:lang w:val="en-US" w:eastAsia="zh-CN"/>
        </w:rPr>
        <w:t>季度</w:t>
      </w:r>
      <w:r>
        <w:rPr>
          <w:rFonts w:hint="eastAsia" w:ascii="方正小标宋简体" w:hAnsi="方正小标宋简体" w:eastAsia="方正小标宋简体" w:cs="方正小标宋简体"/>
          <w:b/>
          <w:bCs/>
          <w:color w:val="auto"/>
          <w:sz w:val="32"/>
          <w:szCs w:val="32"/>
        </w:rPr>
        <w:t>评分表</w:t>
      </w:r>
      <w:r>
        <w:rPr>
          <w:rFonts w:hint="eastAsia" w:ascii="方正小标宋简体" w:hAnsi="方正小标宋简体" w:eastAsia="方正小标宋简体" w:cs="方正小标宋简体"/>
          <w:b/>
          <w:bCs/>
          <w:color w:val="auto"/>
          <w:sz w:val="32"/>
          <w:szCs w:val="32"/>
          <w:lang w:eastAsia="zh-CN"/>
        </w:rPr>
        <w:t>（</w:t>
      </w:r>
      <w:r>
        <w:rPr>
          <w:rFonts w:hint="eastAsia" w:ascii="方正小标宋简体" w:hAnsi="方正小标宋简体" w:eastAsia="方正小标宋简体" w:cs="方正小标宋简体"/>
          <w:b/>
          <w:bCs/>
          <w:color w:val="auto"/>
          <w:sz w:val="32"/>
          <w:szCs w:val="32"/>
          <w:lang w:val="en-US" w:eastAsia="zh-CN"/>
        </w:rPr>
        <w:t>清洁对照点</w:t>
      </w:r>
      <w:r>
        <w:rPr>
          <w:rFonts w:hint="eastAsia" w:ascii="方正小标宋简体" w:hAnsi="方正小标宋简体" w:eastAsia="方正小标宋简体" w:cs="方正小标宋简体"/>
          <w:b/>
          <w:bCs/>
          <w:color w:val="auto"/>
          <w:sz w:val="32"/>
          <w:szCs w:val="32"/>
          <w:lang w:eastAsia="zh-CN"/>
        </w:rPr>
        <w:t>）</w:t>
      </w:r>
    </w:p>
    <w:p w14:paraId="04E19649">
      <w:pPr>
        <w:keepNext w:val="0"/>
        <w:keepLines w:val="0"/>
        <w:pageBreakBefore w:val="0"/>
        <w:widowControl w:val="0"/>
        <w:kinsoku/>
        <w:wordWrap/>
        <w:overflowPunct/>
        <w:topLinePunct w:val="0"/>
        <w:autoSpaceDE/>
        <w:autoSpaceDN/>
        <w:bidi w:val="0"/>
        <w:adjustRightInd/>
        <w:snapToGrid w:val="0"/>
        <w:spacing w:before="156" w:after="156" w:line="300" w:lineRule="exact"/>
        <w:jc w:val="left"/>
        <w:textAlignment w:val="auto"/>
        <w:rPr>
          <w:rFonts w:hint="eastAsia"/>
          <w:b/>
          <w:bCs/>
          <w:color w:val="auto"/>
        </w:rPr>
      </w:pPr>
      <w:r>
        <w:rPr>
          <w:rFonts w:hint="eastAsia" w:ascii="宋体" w:hAnsi="宋体"/>
          <w:b/>
          <w:bCs/>
          <w:color w:val="auto"/>
          <w:kern w:val="0"/>
        </w:rPr>
        <w:t>站点所在地</w:t>
      </w:r>
      <w:r>
        <w:rPr>
          <w:rFonts w:hint="eastAsia" w:ascii="宋体" w:hAnsi="宋体"/>
          <w:color w:val="auto"/>
          <w:kern w:val="0"/>
        </w:rPr>
        <w:t>：</w:t>
      </w:r>
      <w:r>
        <w:rPr>
          <w:rFonts w:hint="eastAsia" w:ascii="宋体" w:hAnsi="宋体"/>
          <w:color w:val="auto"/>
          <w:kern w:val="0"/>
          <w:lang w:val="en-US" w:eastAsia="zh-CN"/>
        </w:rPr>
        <w:t xml:space="preserve">   </w:t>
      </w:r>
      <w:r>
        <w:rPr>
          <w:rFonts w:hint="eastAsia" w:ascii="宋体" w:hAnsi="宋体"/>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北海  </w:t>
      </w:r>
      <w:r>
        <w:rPr>
          <w:color w:val="auto"/>
          <w:kern w:val="0"/>
          <w:u w:val="single"/>
        </w:rPr>
        <w:t xml:space="preserve">     </w:t>
      </w:r>
      <w:r>
        <w:rPr>
          <w:rFonts w:hint="eastAsia" w:ascii="宋体" w:hAnsi="宋体"/>
          <w:color w:val="auto"/>
          <w:kern w:val="0"/>
        </w:rPr>
        <w:t>（县）</w:t>
      </w:r>
      <w:r>
        <w:rPr>
          <w:color w:val="auto"/>
          <w:kern w:val="0"/>
        </w:rPr>
        <w:t xml:space="preserve"> </w:t>
      </w:r>
      <w:r>
        <w:rPr>
          <w:rFonts w:hint="eastAsia" w:ascii="宋体" w:hAnsi="宋体"/>
          <w:color w:val="auto"/>
          <w:kern w:val="0"/>
        </w:rPr>
        <w:t>市</w:t>
      </w:r>
      <w:r>
        <w:rPr>
          <w:color w:val="auto"/>
          <w:kern w:val="0"/>
        </w:rPr>
        <w:t xml:space="preserve">   </w:t>
      </w:r>
      <w:r>
        <w:rPr>
          <w:rFonts w:hint="eastAsia"/>
          <w:color w:val="auto"/>
          <w:kern w:val="0"/>
          <w:lang w:val="en-US" w:eastAsia="zh-CN"/>
        </w:rPr>
        <w:t xml:space="preserve"> </w:t>
      </w:r>
      <w:r>
        <w:rPr>
          <w:color w:val="auto"/>
          <w:kern w:val="0"/>
        </w:rPr>
        <w:t xml:space="preserve"> </w:t>
      </w:r>
      <w:r>
        <w:rPr>
          <w:rFonts w:hint="eastAsia" w:ascii="宋体" w:hAnsi="宋体"/>
          <w:b/>
          <w:bCs/>
          <w:color w:val="auto"/>
          <w:kern w:val="0"/>
        </w:rPr>
        <w:t>子站名称：</w:t>
      </w:r>
      <w:r>
        <w:rPr>
          <w:rFonts w:hint="eastAsia" w:ascii="宋体" w:hAnsi="宋体"/>
          <w:b w:val="0"/>
          <w:bCs w:val="0"/>
          <w:color w:val="auto"/>
          <w:kern w:val="0"/>
          <w:u w:val="single"/>
          <w:lang w:val="en-US" w:eastAsia="zh-CN"/>
        </w:rPr>
        <w:t>牛尾岭水库</w:t>
      </w:r>
      <w:r>
        <w:rPr>
          <w:rFonts w:hint="eastAsia" w:ascii="宋体" w:hAnsi="宋体"/>
          <w:b/>
          <w:bCs/>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p>
    <w:p w14:paraId="02D2603A">
      <w:pPr>
        <w:keepNext w:val="0"/>
        <w:keepLines w:val="0"/>
        <w:pageBreakBefore w:val="0"/>
        <w:widowControl w:val="0"/>
        <w:kinsoku/>
        <w:wordWrap/>
        <w:overflowPunct/>
        <w:topLinePunct w:val="0"/>
        <w:autoSpaceDE/>
        <w:autoSpaceDN/>
        <w:bidi w:val="0"/>
        <w:adjustRightInd/>
        <w:snapToGrid w:val="0"/>
        <w:spacing w:line="300" w:lineRule="exact"/>
        <w:textAlignment w:val="auto"/>
        <w:rPr>
          <w:color w:val="auto"/>
          <w:kern w:val="0"/>
        </w:rPr>
      </w:pPr>
      <w:r>
        <w:rPr>
          <w:rFonts w:hint="eastAsia" w:ascii="宋体" w:hAnsi="宋体"/>
          <w:b/>
          <w:bCs/>
          <w:color w:val="auto"/>
          <w:kern w:val="0"/>
        </w:rPr>
        <w:t>仪器型号</w:t>
      </w:r>
      <w:r>
        <w:rPr>
          <w:rFonts w:hint="eastAsia" w:ascii="宋体" w:hAnsi="宋体"/>
          <w:color w:val="auto"/>
          <w:kern w:val="0"/>
        </w:rPr>
        <w:t>：</w:t>
      </w:r>
      <w:r>
        <w:rPr>
          <w:color w:val="auto"/>
          <w:kern w:val="0"/>
        </w:rPr>
        <w:t>SO</w:t>
      </w:r>
      <w:r>
        <w:rPr>
          <w:color w:val="auto"/>
          <w:kern w:val="0"/>
          <w:vertAlign w:val="subscript"/>
        </w:rPr>
        <w:t>2</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color w:val="auto"/>
          <w:kern w:val="0"/>
        </w:rPr>
        <w:t xml:space="preserve"> NOx</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color w:val="auto"/>
          <w:kern w:val="0"/>
        </w:rPr>
        <w:t>CO</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color w:val="auto"/>
          <w:kern w:val="0"/>
        </w:rPr>
        <w:t xml:space="preserve"> </w:t>
      </w:r>
    </w:p>
    <w:p w14:paraId="28FBBE39">
      <w:pPr>
        <w:keepNext w:val="0"/>
        <w:keepLines w:val="0"/>
        <w:pageBreakBefore w:val="0"/>
        <w:widowControl w:val="0"/>
        <w:kinsoku/>
        <w:wordWrap/>
        <w:overflowPunct/>
        <w:topLinePunct w:val="0"/>
        <w:autoSpaceDE/>
        <w:autoSpaceDN/>
        <w:bidi w:val="0"/>
        <w:adjustRightInd/>
        <w:snapToGrid w:val="0"/>
        <w:spacing w:line="320" w:lineRule="exact"/>
        <w:ind w:firstLine="1100" w:firstLineChars="500"/>
        <w:textAlignment w:val="auto"/>
        <w:rPr>
          <w:rFonts w:hint="eastAsia"/>
          <w:b w:val="0"/>
          <w:bCs w:val="0"/>
          <w:color w:val="auto"/>
          <w:kern w:val="0"/>
          <w:u w:val="none"/>
          <w:lang w:val="en-US" w:eastAsia="zh-CN"/>
        </w:rPr>
      </w:pPr>
      <w:r>
        <w:rPr>
          <w:color w:val="auto"/>
          <w:kern w:val="0"/>
        </w:rPr>
        <w:t>O</w:t>
      </w:r>
      <w:r>
        <w:rPr>
          <w:color w:val="auto"/>
          <w:kern w:val="0"/>
          <w:vertAlign w:val="subscript"/>
        </w:rPr>
        <w:t>3</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color w:val="auto"/>
          <w:kern w:val="0"/>
        </w:rPr>
        <w:t>PM</w:t>
      </w:r>
      <w:r>
        <w:rPr>
          <w:color w:val="auto"/>
          <w:kern w:val="0"/>
          <w:vertAlign w:val="subscript"/>
        </w:rPr>
        <w:t>10</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color w:val="auto"/>
          <w:kern w:val="0"/>
        </w:rPr>
        <w:t xml:space="preserve"> PM</w:t>
      </w:r>
      <w:r>
        <w:rPr>
          <w:color w:val="auto"/>
          <w:kern w:val="0"/>
          <w:vertAlign w:val="subscript"/>
        </w:rPr>
        <w:t>2.5</w:t>
      </w:r>
      <w:r>
        <w:rPr>
          <w:rFonts w:hint="eastAsia" w:ascii="宋体" w:hAnsi="宋体"/>
          <w:color w:val="auto"/>
          <w:kern w:val="0"/>
        </w:rPr>
        <w:t>：</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b w:val="0"/>
          <w:bCs w:val="0"/>
          <w:color w:val="auto"/>
          <w:kern w:val="0"/>
          <w:u w:val="none"/>
          <w:lang w:val="en-US" w:eastAsia="zh-CN"/>
        </w:rPr>
        <w:t xml:space="preserve">  </w:t>
      </w:r>
    </w:p>
    <w:p w14:paraId="2D07DD99">
      <w:pPr>
        <w:keepNext w:val="0"/>
        <w:keepLines w:val="0"/>
        <w:pageBreakBefore w:val="0"/>
        <w:widowControl w:val="0"/>
        <w:kinsoku/>
        <w:wordWrap/>
        <w:overflowPunct/>
        <w:topLinePunct w:val="0"/>
        <w:autoSpaceDE/>
        <w:autoSpaceDN/>
        <w:bidi w:val="0"/>
        <w:adjustRightInd/>
        <w:snapToGrid w:val="0"/>
        <w:spacing w:line="320" w:lineRule="exact"/>
        <w:textAlignment w:val="auto"/>
        <w:rPr>
          <w:rFonts w:hint="default"/>
          <w:b w:val="0"/>
          <w:bCs w:val="0"/>
          <w:color w:val="auto"/>
          <w:kern w:val="0"/>
          <w:u w:val="none"/>
          <w:lang w:val="en-US" w:eastAsia="zh-CN"/>
        </w:rPr>
      </w:pPr>
      <w:r>
        <w:rPr>
          <w:rFonts w:hint="eastAsia"/>
          <w:b/>
          <w:bCs/>
          <w:color w:val="auto"/>
          <w:kern w:val="0"/>
          <w:u w:val="none"/>
          <w:lang w:val="en-US" w:eastAsia="zh-CN"/>
        </w:rPr>
        <w:t>考核时段：</w:t>
      </w:r>
      <w:r>
        <w:rPr>
          <w:rFonts w:hint="eastAsia"/>
          <w:b/>
          <w:bCs/>
          <w:color w:val="auto"/>
          <w:kern w:val="0"/>
          <w:u w:val="single"/>
          <w:lang w:val="en-US" w:eastAsia="zh-CN"/>
        </w:rPr>
        <w:t xml:space="preserve">                                   </w:t>
      </w:r>
    </w:p>
    <w:tbl>
      <w:tblPr>
        <w:tblStyle w:val="25"/>
        <w:tblW w:w="9720" w:type="dxa"/>
        <w:jc w:val="center"/>
        <w:tblLayout w:type="fixed"/>
        <w:tblCellMar>
          <w:top w:w="0" w:type="dxa"/>
          <w:left w:w="108" w:type="dxa"/>
          <w:bottom w:w="0" w:type="dxa"/>
          <w:right w:w="108" w:type="dxa"/>
        </w:tblCellMar>
      </w:tblPr>
      <w:tblGrid>
        <w:gridCol w:w="1080"/>
        <w:gridCol w:w="5400"/>
        <w:gridCol w:w="1060"/>
        <w:gridCol w:w="1525"/>
        <w:gridCol w:w="655"/>
      </w:tblGrid>
      <w:tr w14:paraId="0A1F3C40">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870AA1F">
            <w:pPr>
              <w:adjustRightInd w:val="0"/>
              <w:snapToGrid w:val="0"/>
              <w:spacing w:before="0" w:beforeAutospacing="0" w:after="0" w:afterAutospacing="0"/>
              <w:ind w:left="0" w:leftChars="0" w:right="0"/>
              <w:jc w:val="both"/>
              <w:rPr>
                <w:rFonts w:hint="default"/>
                <w:b/>
                <w:bCs/>
                <w:color w:val="auto"/>
                <w:szCs w:val="21"/>
              </w:rPr>
            </w:pPr>
            <w:r>
              <w:rPr>
                <w:rFonts w:hint="eastAsia"/>
                <w:b/>
                <w:bCs/>
                <w:color w:val="auto"/>
              </w:rPr>
              <w:t>检查内容</w:t>
            </w:r>
          </w:p>
        </w:tc>
        <w:tc>
          <w:tcPr>
            <w:tcW w:w="5400" w:type="dxa"/>
            <w:tcBorders>
              <w:top w:val="single" w:color="auto" w:sz="4" w:space="0"/>
              <w:left w:val="nil"/>
              <w:bottom w:val="single" w:color="auto" w:sz="4" w:space="0"/>
              <w:right w:val="single" w:color="auto" w:sz="4" w:space="0"/>
            </w:tcBorders>
            <w:noWrap w:val="0"/>
            <w:vAlign w:val="center"/>
          </w:tcPr>
          <w:p w14:paraId="6A9F78E6">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检查要点</w:t>
            </w:r>
          </w:p>
        </w:tc>
        <w:tc>
          <w:tcPr>
            <w:tcW w:w="1060" w:type="dxa"/>
            <w:tcBorders>
              <w:top w:val="single" w:color="auto" w:sz="4" w:space="0"/>
              <w:left w:val="nil"/>
              <w:bottom w:val="single" w:color="auto" w:sz="4" w:space="0"/>
              <w:right w:val="single" w:color="auto" w:sz="4" w:space="0"/>
            </w:tcBorders>
            <w:noWrap w:val="0"/>
            <w:vAlign w:val="center"/>
          </w:tcPr>
          <w:p w14:paraId="2DD2B8E3">
            <w:pPr>
              <w:adjustRightInd w:val="0"/>
              <w:snapToGrid w:val="0"/>
              <w:spacing w:before="0" w:beforeAutospacing="0" w:after="0" w:afterAutospacing="0"/>
              <w:ind w:left="0" w:right="0"/>
              <w:jc w:val="both"/>
              <w:rPr>
                <w:rFonts w:hint="default"/>
                <w:b/>
                <w:bCs/>
                <w:color w:val="auto"/>
                <w:szCs w:val="21"/>
              </w:rPr>
            </w:pPr>
            <w:r>
              <w:rPr>
                <w:rFonts w:hint="eastAsia"/>
                <w:b/>
                <w:bCs/>
                <w:color w:val="auto"/>
              </w:rPr>
              <w:t>单项分值</w:t>
            </w:r>
          </w:p>
        </w:tc>
        <w:tc>
          <w:tcPr>
            <w:tcW w:w="1525" w:type="dxa"/>
            <w:tcBorders>
              <w:top w:val="single" w:color="auto" w:sz="4" w:space="0"/>
              <w:left w:val="nil"/>
              <w:bottom w:val="single" w:color="auto" w:sz="4" w:space="0"/>
              <w:right w:val="single" w:color="auto" w:sz="4" w:space="0"/>
            </w:tcBorders>
            <w:noWrap w:val="0"/>
            <w:vAlign w:val="center"/>
          </w:tcPr>
          <w:p w14:paraId="536238B0">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评分说明</w:t>
            </w:r>
          </w:p>
        </w:tc>
        <w:tc>
          <w:tcPr>
            <w:tcW w:w="655" w:type="dxa"/>
            <w:tcBorders>
              <w:top w:val="single" w:color="auto" w:sz="4" w:space="0"/>
              <w:left w:val="nil"/>
              <w:bottom w:val="single" w:color="auto" w:sz="4" w:space="0"/>
              <w:right w:val="single" w:color="auto" w:sz="4" w:space="0"/>
            </w:tcBorders>
            <w:noWrap w:val="0"/>
            <w:vAlign w:val="center"/>
          </w:tcPr>
          <w:p w14:paraId="122DBD53">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得分</w:t>
            </w:r>
          </w:p>
        </w:tc>
      </w:tr>
      <w:tr w14:paraId="226CE0A7">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auto" w:sz="4" w:space="0"/>
              <w:right w:val="single" w:color="auto" w:sz="4" w:space="0"/>
            </w:tcBorders>
            <w:noWrap w:val="0"/>
            <w:vAlign w:val="center"/>
          </w:tcPr>
          <w:p w14:paraId="3E69474E">
            <w:pPr>
              <w:adjustRightInd w:val="0"/>
              <w:snapToGrid w:val="0"/>
              <w:spacing w:before="0" w:beforeAutospacing="0" w:after="0" w:afterAutospacing="0"/>
              <w:ind w:left="0" w:right="0"/>
              <w:jc w:val="center"/>
              <w:rPr>
                <w:rFonts w:hint="default"/>
                <w:b/>
                <w:bCs/>
                <w:color w:val="auto"/>
                <w:szCs w:val="21"/>
              </w:rPr>
            </w:pPr>
            <w:r>
              <w:rPr>
                <w:rFonts w:hint="default"/>
                <w:b/>
                <w:bCs/>
                <w:color w:val="auto"/>
              </w:rPr>
              <w:t>1.</w:t>
            </w:r>
            <w:r>
              <w:rPr>
                <w:rFonts w:hint="eastAsia" w:ascii="宋体" w:hAnsi="宋体"/>
                <w:b/>
                <w:bCs/>
                <w:color w:val="auto"/>
              </w:rPr>
              <w:t>站房及采样系统情况</w:t>
            </w:r>
          </w:p>
          <w:p w14:paraId="665D04A5">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w:t>
            </w:r>
            <w:r>
              <w:rPr>
                <w:rFonts w:hint="eastAsia"/>
                <w:b/>
                <w:bCs/>
                <w:color w:val="auto"/>
                <w:lang w:val="en-US" w:eastAsia="zh-CN"/>
              </w:rPr>
              <w:t>13</w:t>
            </w:r>
            <w:r>
              <w:rPr>
                <w:rFonts w:hint="eastAsia" w:ascii="宋体" w:hAnsi="宋体"/>
                <w:b/>
                <w:bCs/>
                <w:color w:val="auto"/>
              </w:rPr>
              <w:t>分）</w:t>
            </w:r>
          </w:p>
        </w:tc>
        <w:tc>
          <w:tcPr>
            <w:tcW w:w="5400" w:type="dxa"/>
            <w:tcBorders>
              <w:top w:val="single" w:color="auto" w:sz="4" w:space="0"/>
              <w:left w:val="nil"/>
              <w:bottom w:val="single" w:color="auto" w:sz="4" w:space="0"/>
              <w:right w:val="single" w:color="auto" w:sz="4" w:space="0"/>
            </w:tcBorders>
            <w:noWrap w:val="0"/>
            <w:vAlign w:val="center"/>
          </w:tcPr>
          <w:p w14:paraId="499F479A">
            <w:pPr>
              <w:adjustRightInd w:val="0"/>
              <w:snapToGrid w:val="0"/>
              <w:spacing w:before="0" w:beforeAutospacing="0" w:after="0" w:afterAutospacing="0"/>
              <w:ind w:left="0" w:right="0"/>
              <w:jc w:val="left"/>
              <w:rPr>
                <w:rFonts w:hint="default"/>
                <w:color w:val="auto"/>
                <w:szCs w:val="21"/>
              </w:rPr>
            </w:pPr>
            <w:r>
              <w:rPr>
                <w:rFonts w:hint="eastAsia"/>
                <w:color w:val="auto"/>
              </w:rPr>
              <w:t>站房温度</w:t>
            </w:r>
            <w:r>
              <w:rPr>
                <w:rFonts w:hint="default"/>
                <w:color w:val="auto"/>
              </w:rPr>
              <w:softHyphen/>
            </w:r>
            <w:r>
              <w:rPr>
                <w:rFonts w:hint="default"/>
                <w:color w:val="auto"/>
              </w:rPr>
              <w:softHyphen/>
            </w:r>
            <w:r>
              <w:rPr>
                <w:rFonts w:hint="default"/>
                <w:color w:val="auto"/>
              </w:rPr>
              <w:softHyphen/>
            </w:r>
            <w:r>
              <w:rPr>
                <w:rFonts w:hint="default"/>
                <w:color w:val="auto"/>
              </w:rPr>
              <w:softHyphen/>
            </w:r>
            <w:r>
              <w:rPr>
                <w:rFonts w:hint="default"/>
                <w:color w:val="auto"/>
              </w:rPr>
              <w:t>__________</w:t>
            </w:r>
            <w:r>
              <w:rPr>
                <w:rFonts w:hint="eastAsia" w:ascii="宋体" w:hAnsi="宋体"/>
                <w:color w:val="auto"/>
              </w:rPr>
              <w:t>（</w:t>
            </w:r>
            <w:r>
              <w:rPr>
                <w:rFonts w:hint="default"/>
                <w:color w:val="auto"/>
              </w:rPr>
              <w:t>15-35</w:t>
            </w:r>
            <w:r>
              <w:rPr>
                <w:rFonts w:hint="eastAsia" w:ascii="宋体" w:hAnsi="宋体"/>
                <w:color w:val="auto"/>
              </w:rPr>
              <w:t>℃</w:t>
            </w:r>
            <w:r>
              <w:rPr>
                <w:rFonts w:hint="eastAsia"/>
                <w:color w:val="auto"/>
              </w:rPr>
              <w:t>）</w:t>
            </w:r>
            <w:r>
              <w:rPr>
                <w:rFonts w:hint="default"/>
                <w:color w:val="auto"/>
              </w:rPr>
              <w:t xml:space="preserve"> </w:t>
            </w:r>
          </w:p>
        </w:tc>
        <w:tc>
          <w:tcPr>
            <w:tcW w:w="1060" w:type="dxa"/>
            <w:tcBorders>
              <w:top w:val="single" w:color="auto" w:sz="4" w:space="0"/>
              <w:left w:val="nil"/>
              <w:bottom w:val="single" w:color="auto" w:sz="4" w:space="0"/>
              <w:right w:val="single" w:color="auto" w:sz="4" w:space="0"/>
            </w:tcBorders>
            <w:noWrap w:val="0"/>
            <w:vAlign w:val="center"/>
          </w:tcPr>
          <w:p w14:paraId="334B2659">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6F992F71">
            <w:pPr>
              <w:adjustRightInd w:val="0"/>
              <w:snapToGrid w:val="0"/>
              <w:spacing w:before="0" w:beforeAutospacing="0" w:after="0" w:afterAutospacing="0"/>
              <w:ind w:left="0" w:right="0"/>
              <w:jc w:val="center"/>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5131206A">
            <w:pPr>
              <w:adjustRightInd w:val="0"/>
              <w:snapToGrid w:val="0"/>
              <w:spacing w:before="0" w:beforeAutospacing="0" w:after="0" w:afterAutospacing="0"/>
              <w:ind w:left="0" w:right="0"/>
              <w:jc w:val="center"/>
              <w:rPr>
                <w:rFonts w:hint="default"/>
                <w:color w:val="auto"/>
                <w:szCs w:val="21"/>
              </w:rPr>
            </w:pPr>
          </w:p>
        </w:tc>
      </w:tr>
      <w:tr w14:paraId="0C1225E2">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35D6BED6">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20DD6CEE">
            <w:pPr>
              <w:adjustRightInd w:val="0"/>
              <w:snapToGrid w:val="0"/>
              <w:spacing w:before="0" w:beforeAutospacing="0" w:after="0" w:afterAutospacing="0"/>
              <w:ind w:left="0" w:right="0"/>
              <w:jc w:val="left"/>
              <w:rPr>
                <w:rFonts w:hint="default"/>
                <w:color w:val="auto"/>
                <w:szCs w:val="21"/>
              </w:rPr>
            </w:pPr>
            <w:r>
              <w:rPr>
                <w:rFonts w:hint="eastAsia"/>
                <w:color w:val="auto"/>
              </w:rPr>
              <w:t>相对湿度</w:t>
            </w:r>
            <w:r>
              <w:rPr>
                <w:rFonts w:hint="default"/>
                <w:color w:val="auto"/>
              </w:rPr>
              <w:t>__________</w:t>
            </w:r>
            <w:r>
              <w:rPr>
                <w:rFonts w:hint="eastAsia" w:ascii="宋体" w:hAnsi="宋体"/>
                <w:color w:val="auto"/>
              </w:rPr>
              <w:t>（</w:t>
            </w:r>
            <w:r>
              <w:rPr>
                <w:rFonts w:hint="default"/>
                <w:color w:val="auto"/>
              </w:rPr>
              <w:t>85%</w:t>
            </w:r>
            <w:r>
              <w:rPr>
                <w:rFonts w:hint="eastAsia" w:ascii="宋体" w:hAnsi="宋体"/>
                <w:color w:val="auto"/>
              </w:rPr>
              <w:t>以下）</w:t>
            </w:r>
          </w:p>
        </w:tc>
        <w:tc>
          <w:tcPr>
            <w:tcW w:w="1060" w:type="dxa"/>
            <w:tcBorders>
              <w:top w:val="single" w:color="auto" w:sz="4" w:space="0"/>
              <w:left w:val="nil"/>
              <w:bottom w:val="single" w:color="auto" w:sz="4" w:space="0"/>
              <w:right w:val="single" w:color="auto" w:sz="4" w:space="0"/>
            </w:tcBorders>
            <w:noWrap w:val="0"/>
            <w:vAlign w:val="center"/>
          </w:tcPr>
          <w:p w14:paraId="2F04EB40">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1DCDC649">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5CC9642B">
            <w:pPr>
              <w:adjustRightInd w:val="0"/>
              <w:snapToGrid w:val="0"/>
              <w:spacing w:before="0" w:beforeAutospacing="0" w:after="0" w:afterAutospacing="0"/>
              <w:ind w:left="0" w:right="0"/>
              <w:jc w:val="left"/>
              <w:rPr>
                <w:rFonts w:hint="default"/>
                <w:color w:val="auto"/>
                <w:szCs w:val="21"/>
              </w:rPr>
            </w:pPr>
          </w:p>
        </w:tc>
      </w:tr>
      <w:tr w14:paraId="710B206B">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597002CE">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4902BB49">
            <w:pPr>
              <w:adjustRightInd w:val="0"/>
              <w:snapToGrid w:val="0"/>
              <w:spacing w:before="0" w:beforeAutospacing="0" w:after="0" w:afterAutospacing="0"/>
              <w:ind w:left="0" w:right="0"/>
              <w:jc w:val="left"/>
              <w:rPr>
                <w:rFonts w:hint="default"/>
                <w:color w:val="auto"/>
                <w:szCs w:val="21"/>
              </w:rPr>
            </w:pPr>
            <w:r>
              <w:rPr>
                <w:rFonts w:hint="eastAsia"/>
                <w:color w:val="auto"/>
              </w:rPr>
              <w:t>站房是否漏雨</w:t>
            </w:r>
          </w:p>
        </w:tc>
        <w:tc>
          <w:tcPr>
            <w:tcW w:w="1060" w:type="dxa"/>
            <w:tcBorders>
              <w:top w:val="single" w:color="auto" w:sz="4" w:space="0"/>
              <w:left w:val="nil"/>
              <w:bottom w:val="single" w:color="auto" w:sz="4" w:space="0"/>
              <w:right w:val="single" w:color="auto" w:sz="4" w:space="0"/>
            </w:tcBorders>
            <w:noWrap w:val="0"/>
            <w:vAlign w:val="center"/>
          </w:tcPr>
          <w:p w14:paraId="4862F334">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51DC5C0F">
            <w:pPr>
              <w:adjustRightInd w:val="0"/>
              <w:snapToGrid w:val="0"/>
              <w:spacing w:before="0" w:beforeAutospacing="0" w:after="0" w:afterAutospacing="0"/>
              <w:ind w:left="0" w:right="0"/>
              <w:jc w:val="center"/>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7832F743">
            <w:pPr>
              <w:adjustRightInd w:val="0"/>
              <w:snapToGrid w:val="0"/>
              <w:spacing w:before="0" w:beforeAutospacing="0" w:after="0" w:afterAutospacing="0"/>
              <w:ind w:left="0" w:right="0"/>
              <w:jc w:val="center"/>
              <w:rPr>
                <w:rFonts w:hint="default"/>
                <w:color w:val="auto"/>
                <w:szCs w:val="21"/>
              </w:rPr>
            </w:pPr>
          </w:p>
        </w:tc>
      </w:tr>
      <w:tr w14:paraId="76ED6ECD">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B88E123">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66F0ADE2">
            <w:pPr>
              <w:adjustRightInd w:val="0"/>
              <w:snapToGrid w:val="0"/>
              <w:spacing w:before="0" w:beforeAutospacing="0" w:after="0" w:afterAutospacing="0"/>
              <w:ind w:left="0" w:right="0"/>
              <w:jc w:val="left"/>
              <w:rPr>
                <w:rFonts w:hint="default"/>
                <w:color w:val="auto"/>
                <w:szCs w:val="21"/>
              </w:rPr>
            </w:pPr>
            <w:r>
              <w:rPr>
                <w:rFonts w:hint="eastAsia"/>
                <w:color w:val="auto"/>
              </w:rPr>
              <w:t>是否有避雷针接地、电源防雷、网络防雷。避雷针是否有检定证书</w:t>
            </w:r>
          </w:p>
        </w:tc>
        <w:tc>
          <w:tcPr>
            <w:tcW w:w="1060" w:type="dxa"/>
            <w:tcBorders>
              <w:top w:val="single" w:color="auto" w:sz="4" w:space="0"/>
              <w:left w:val="nil"/>
              <w:bottom w:val="single" w:color="auto" w:sz="4" w:space="0"/>
              <w:right w:val="single" w:color="auto" w:sz="4" w:space="0"/>
            </w:tcBorders>
            <w:noWrap w:val="0"/>
            <w:vAlign w:val="center"/>
          </w:tcPr>
          <w:p w14:paraId="7B6147B0">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5EC85B9F">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4B671F0D">
            <w:pPr>
              <w:adjustRightInd w:val="0"/>
              <w:snapToGrid w:val="0"/>
              <w:spacing w:before="0" w:beforeAutospacing="0" w:after="0" w:afterAutospacing="0"/>
              <w:ind w:left="0" w:right="0"/>
              <w:jc w:val="left"/>
              <w:rPr>
                <w:rFonts w:hint="default"/>
                <w:color w:val="auto"/>
                <w:szCs w:val="21"/>
              </w:rPr>
            </w:pPr>
          </w:p>
        </w:tc>
      </w:tr>
      <w:tr w14:paraId="2935CBC8">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ACAE0DE">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526192D3">
            <w:pPr>
              <w:adjustRightInd w:val="0"/>
              <w:snapToGrid w:val="0"/>
              <w:spacing w:before="0" w:beforeAutospacing="0" w:after="0" w:afterAutospacing="0"/>
              <w:ind w:left="0" w:right="0"/>
              <w:jc w:val="left"/>
              <w:rPr>
                <w:rFonts w:hint="default"/>
                <w:color w:val="auto"/>
                <w:szCs w:val="21"/>
              </w:rPr>
            </w:pPr>
            <w:r>
              <w:rPr>
                <w:rFonts w:hint="eastAsia"/>
                <w:color w:val="auto"/>
              </w:rPr>
              <w:t>防火器材是否在有效期内</w:t>
            </w:r>
          </w:p>
        </w:tc>
        <w:tc>
          <w:tcPr>
            <w:tcW w:w="1060" w:type="dxa"/>
            <w:tcBorders>
              <w:top w:val="single" w:color="auto" w:sz="4" w:space="0"/>
              <w:left w:val="nil"/>
              <w:bottom w:val="single" w:color="auto" w:sz="4" w:space="0"/>
              <w:right w:val="single" w:color="auto" w:sz="4" w:space="0"/>
            </w:tcBorders>
            <w:noWrap w:val="0"/>
            <w:vAlign w:val="center"/>
          </w:tcPr>
          <w:p w14:paraId="48C548E6">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6093C697">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2A237139">
            <w:pPr>
              <w:adjustRightInd w:val="0"/>
              <w:snapToGrid w:val="0"/>
              <w:spacing w:before="0" w:beforeAutospacing="0" w:after="0" w:afterAutospacing="0"/>
              <w:ind w:left="0" w:right="0"/>
              <w:jc w:val="left"/>
              <w:rPr>
                <w:rFonts w:hint="default"/>
                <w:color w:val="auto"/>
                <w:szCs w:val="21"/>
              </w:rPr>
            </w:pPr>
          </w:p>
        </w:tc>
      </w:tr>
      <w:tr w14:paraId="07F1FB7E">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9B9F720">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077C5075">
            <w:pPr>
              <w:adjustRightInd w:val="0"/>
              <w:snapToGrid w:val="0"/>
              <w:spacing w:before="0" w:beforeAutospacing="0" w:after="0" w:afterAutospacing="0"/>
              <w:ind w:left="0" w:right="0"/>
              <w:jc w:val="left"/>
              <w:rPr>
                <w:rFonts w:hint="default"/>
                <w:color w:val="auto"/>
                <w:szCs w:val="21"/>
              </w:rPr>
            </w:pPr>
            <w:r>
              <w:rPr>
                <w:rFonts w:hint="eastAsia"/>
                <w:color w:val="auto"/>
              </w:rPr>
              <w:t>站房内其他辅助设施（排风扇、空调、照明、工具箱）是否正常</w:t>
            </w:r>
          </w:p>
        </w:tc>
        <w:tc>
          <w:tcPr>
            <w:tcW w:w="1060" w:type="dxa"/>
            <w:tcBorders>
              <w:top w:val="single" w:color="auto" w:sz="4" w:space="0"/>
              <w:left w:val="nil"/>
              <w:bottom w:val="single" w:color="auto" w:sz="4" w:space="0"/>
              <w:right w:val="single" w:color="auto" w:sz="4" w:space="0"/>
            </w:tcBorders>
            <w:noWrap w:val="0"/>
            <w:vAlign w:val="center"/>
          </w:tcPr>
          <w:p w14:paraId="34FB057B">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0DD36DE0">
            <w:pPr>
              <w:adjustRightInd w:val="0"/>
              <w:snapToGrid w:val="0"/>
              <w:spacing w:before="0" w:beforeAutospacing="0" w:after="0" w:afterAutospacing="0"/>
              <w:ind w:left="0" w:right="0"/>
              <w:jc w:val="left"/>
              <w:rPr>
                <w:rFonts w:hint="default"/>
                <w:color w:val="auto"/>
                <w:szCs w:val="21"/>
              </w:rPr>
            </w:pPr>
            <w:r>
              <w:rPr>
                <w:rFonts w:hint="eastAsia"/>
                <w:color w:val="auto"/>
              </w:rPr>
              <w:t>缺失一项扣</w:t>
            </w:r>
            <w:r>
              <w:rPr>
                <w:rFonts w:hint="eastAsia"/>
                <w:color w:val="auto"/>
                <w:lang w:val="en-US" w:eastAsia="zh-CN"/>
              </w:rPr>
              <w:t>1</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6D35893A">
            <w:pPr>
              <w:adjustRightInd w:val="0"/>
              <w:snapToGrid w:val="0"/>
              <w:spacing w:before="0" w:beforeAutospacing="0" w:after="0" w:afterAutospacing="0"/>
              <w:ind w:left="0" w:right="0"/>
              <w:jc w:val="left"/>
              <w:rPr>
                <w:rFonts w:hint="default"/>
                <w:color w:val="auto"/>
                <w:szCs w:val="21"/>
              </w:rPr>
            </w:pPr>
          </w:p>
        </w:tc>
      </w:tr>
      <w:tr w14:paraId="043786C6">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271E73B5">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526FDE93">
            <w:pPr>
              <w:adjustRightInd w:val="0"/>
              <w:snapToGrid w:val="0"/>
              <w:spacing w:before="0" w:beforeAutospacing="0" w:after="0" w:afterAutospacing="0"/>
              <w:ind w:left="0" w:right="0"/>
              <w:jc w:val="left"/>
              <w:rPr>
                <w:rFonts w:hint="default"/>
                <w:color w:val="auto"/>
                <w:szCs w:val="21"/>
              </w:rPr>
            </w:pPr>
            <w:r>
              <w:rPr>
                <w:rFonts w:hint="eastAsia"/>
                <w:color w:val="auto"/>
              </w:rPr>
              <w:t>站房内线路整洁及卫生情况</w:t>
            </w:r>
          </w:p>
        </w:tc>
        <w:tc>
          <w:tcPr>
            <w:tcW w:w="1060" w:type="dxa"/>
            <w:tcBorders>
              <w:top w:val="single" w:color="auto" w:sz="4" w:space="0"/>
              <w:left w:val="nil"/>
              <w:bottom w:val="single" w:color="auto" w:sz="4" w:space="0"/>
              <w:right w:val="single" w:color="auto" w:sz="4" w:space="0"/>
            </w:tcBorders>
            <w:noWrap w:val="0"/>
            <w:vAlign w:val="center"/>
          </w:tcPr>
          <w:p w14:paraId="6A0E1E91">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15E3268B">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44CE91E8">
            <w:pPr>
              <w:adjustRightInd w:val="0"/>
              <w:snapToGrid w:val="0"/>
              <w:spacing w:before="0" w:beforeAutospacing="0" w:after="0" w:afterAutospacing="0"/>
              <w:ind w:left="0" w:right="0"/>
              <w:jc w:val="left"/>
              <w:rPr>
                <w:rFonts w:hint="default"/>
                <w:color w:val="auto"/>
                <w:szCs w:val="21"/>
              </w:rPr>
            </w:pPr>
          </w:p>
        </w:tc>
      </w:tr>
      <w:tr w14:paraId="4738B42D">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943F948">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53BB23F3">
            <w:pPr>
              <w:adjustRightInd w:val="0"/>
              <w:snapToGrid w:val="0"/>
              <w:spacing w:before="0" w:beforeAutospacing="0" w:after="0" w:afterAutospacing="0"/>
              <w:ind w:left="0" w:right="0"/>
              <w:jc w:val="left"/>
              <w:rPr>
                <w:rFonts w:hint="default"/>
                <w:color w:val="auto"/>
                <w:szCs w:val="21"/>
              </w:rPr>
            </w:pPr>
            <w:r>
              <w:rPr>
                <w:rFonts w:hint="eastAsia"/>
                <w:color w:val="auto"/>
                <w:kern w:val="0"/>
              </w:rPr>
              <w:t>采样系统清洁程度（颗粒物采样头、采样总管、支管）</w:t>
            </w:r>
          </w:p>
        </w:tc>
        <w:tc>
          <w:tcPr>
            <w:tcW w:w="1060" w:type="dxa"/>
            <w:tcBorders>
              <w:top w:val="single" w:color="auto" w:sz="4" w:space="0"/>
              <w:left w:val="nil"/>
              <w:bottom w:val="single" w:color="auto" w:sz="4" w:space="0"/>
              <w:right w:val="single" w:color="auto" w:sz="4" w:space="0"/>
            </w:tcBorders>
            <w:noWrap w:val="0"/>
            <w:vAlign w:val="center"/>
          </w:tcPr>
          <w:p w14:paraId="6C97C686">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1.5</w:t>
            </w:r>
          </w:p>
        </w:tc>
        <w:tc>
          <w:tcPr>
            <w:tcW w:w="1525" w:type="dxa"/>
            <w:tcBorders>
              <w:top w:val="single" w:color="auto" w:sz="4" w:space="0"/>
              <w:left w:val="nil"/>
              <w:bottom w:val="single" w:color="auto" w:sz="4" w:space="0"/>
              <w:right w:val="single" w:color="auto" w:sz="4" w:space="0"/>
            </w:tcBorders>
            <w:noWrap w:val="0"/>
            <w:vAlign w:val="center"/>
          </w:tcPr>
          <w:p w14:paraId="263BAB2E">
            <w:pPr>
              <w:adjustRightInd w:val="0"/>
              <w:snapToGrid w:val="0"/>
              <w:spacing w:before="0" w:beforeAutospacing="0" w:after="0" w:afterAutospacing="0"/>
              <w:ind w:left="0" w:right="0"/>
              <w:jc w:val="left"/>
              <w:rPr>
                <w:rFonts w:hint="default"/>
                <w:color w:val="auto"/>
                <w:szCs w:val="21"/>
              </w:rPr>
            </w:pPr>
            <w:r>
              <w:rPr>
                <w:rFonts w:hint="eastAsia"/>
                <w:color w:val="auto"/>
              </w:rPr>
              <w:t>有一项不清洁扣</w:t>
            </w:r>
            <w:r>
              <w:rPr>
                <w:rFonts w:hint="eastAsia"/>
                <w:color w:val="auto"/>
                <w:lang w:val="en-US" w:eastAsia="zh-CN"/>
              </w:rPr>
              <w:t>1.5</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5022EF2E">
            <w:pPr>
              <w:adjustRightInd w:val="0"/>
              <w:snapToGrid w:val="0"/>
              <w:spacing w:before="0" w:beforeAutospacing="0" w:after="0" w:afterAutospacing="0"/>
              <w:ind w:left="0" w:right="0"/>
              <w:jc w:val="left"/>
              <w:rPr>
                <w:rFonts w:hint="default"/>
                <w:color w:val="auto"/>
                <w:szCs w:val="21"/>
              </w:rPr>
            </w:pPr>
          </w:p>
        </w:tc>
      </w:tr>
      <w:tr w14:paraId="7DA4B677">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2A765115">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1145B40C">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采样风机是否正常工作</w:t>
            </w:r>
          </w:p>
        </w:tc>
        <w:tc>
          <w:tcPr>
            <w:tcW w:w="1060" w:type="dxa"/>
            <w:tcBorders>
              <w:top w:val="single" w:color="auto" w:sz="4" w:space="0"/>
              <w:left w:val="nil"/>
              <w:bottom w:val="single" w:color="auto" w:sz="4" w:space="0"/>
              <w:right w:val="single" w:color="auto" w:sz="4" w:space="0"/>
            </w:tcBorders>
            <w:noWrap w:val="0"/>
            <w:vAlign w:val="center"/>
          </w:tcPr>
          <w:p w14:paraId="3832B82D">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2CFCE15E">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6AA55D7B">
            <w:pPr>
              <w:adjustRightInd w:val="0"/>
              <w:snapToGrid w:val="0"/>
              <w:spacing w:before="0" w:beforeAutospacing="0" w:after="0" w:afterAutospacing="0"/>
              <w:ind w:left="0" w:right="0"/>
              <w:jc w:val="left"/>
              <w:rPr>
                <w:rFonts w:hint="default"/>
                <w:color w:val="auto"/>
                <w:szCs w:val="21"/>
              </w:rPr>
            </w:pPr>
          </w:p>
        </w:tc>
      </w:tr>
      <w:tr w14:paraId="1B3BE890">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FF3135C">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39F115EF">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气态污染物采样总管加热温度是否在</w:t>
            </w:r>
            <w:r>
              <w:rPr>
                <w:rFonts w:hint="default"/>
                <w:color w:val="auto"/>
                <w:kern w:val="0"/>
              </w:rPr>
              <w:softHyphen/>
            </w:r>
            <w:r>
              <w:rPr>
                <w:rFonts w:hint="default"/>
                <w:color w:val="auto"/>
                <w:kern w:val="0"/>
              </w:rPr>
              <w:softHyphen/>
            </w:r>
            <w:r>
              <w:rPr>
                <w:rFonts w:hint="default"/>
                <w:color w:val="auto"/>
                <w:kern w:val="0"/>
              </w:rPr>
              <w:t>30</w:t>
            </w:r>
            <w:r>
              <w:rPr>
                <w:rFonts w:hint="eastAsia" w:ascii="宋体" w:hAnsi="宋体"/>
                <w:color w:val="auto"/>
                <w:kern w:val="0"/>
              </w:rPr>
              <w:t>～</w:t>
            </w:r>
            <w:r>
              <w:rPr>
                <w:rFonts w:hint="default"/>
                <w:color w:val="auto"/>
                <w:kern w:val="0"/>
              </w:rPr>
              <w:t>50</w:t>
            </w:r>
            <w:r>
              <w:rPr>
                <w:rFonts w:hint="eastAsia" w:ascii="宋体" w:hAnsi="宋体"/>
                <w:color w:val="auto"/>
                <w:kern w:val="0"/>
              </w:rPr>
              <w:t>℃</w:t>
            </w:r>
            <w:r>
              <w:rPr>
                <w:rFonts w:hint="eastAsia"/>
                <w:color w:val="auto"/>
                <w:kern w:val="0"/>
              </w:rPr>
              <w:t>，是否避免被空调直吹</w:t>
            </w:r>
          </w:p>
        </w:tc>
        <w:tc>
          <w:tcPr>
            <w:tcW w:w="1060" w:type="dxa"/>
            <w:tcBorders>
              <w:top w:val="single" w:color="auto" w:sz="4" w:space="0"/>
              <w:left w:val="nil"/>
              <w:bottom w:val="single" w:color="auto" w:sz="4" w:space="0"/>
              <w:right w:val="single" w:color="auto" w:sz="4" w:space="0"/>
            </w:tcBorders>
            <w:noWrap w:val="0"/>
            <w:vAlign w:val="center"/>
          </w:tcPr>
          <w:p w14:paraId="146F6160">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lang w:val="en-US" w:eastAsia="zh-CN"/>
              </w:rPr>
              <w:t>1.5</w:t>
            </w:r>
          </w:p>
        </w:tc>
        <w:tc>
          <w:tcPr>
            <w:tcW w:w="1525" w:type="dxa"/>
            <w:tcBorders>
              <w:top w:val="single" w:color="auto" w:sz="4" w:space="0"/>
              <w:left w:val="nil"/>
              <w:bottom w:val="single" w:color="auto" w:sz="4" w:space="0"/>
              <w:right w:val="single" w:color="auto" w:sz="4" w:space="0"/>
            </w:tcBorders>
            <w:noWrap w:val="0"/>
            <w:vAlign w:val="center"/>
          </w:tcPr>
          <w:p w14:paraId="5CE86D0B">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4AB588D7">
            <w:pPr>
              <w:adjustRightInd w:val="0"/>
              <w:snapToGrid w:val="0"/>
              <w:spacing w:before="0" w:beforeAutospacing="0" w:after="0" w:afterAutospacing="0"/>
              <w:ind w:left="0" w:right="0"/>
              <w:jc w:val="left"/>
              <w:rPr>
                <w:rFonts w:hint="default"/>
                <w:color w:val="auto"/>
                <w:szCs w:val="21"/>
              </w:rPr>
            </w:pPr>
          </w:p>
        </w:tc>
      </w:tr>
      <w:tr w14:paraId="1C472066">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7FB9AA7">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3C41BAD7">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各通道参数（斜率、截距、量程等）的设置是否正确</w:t>
            </w:r>
          </w:p>
        </w:tc>
        <w:tc>
          <w:tcPr>
            <w:tcW w:w="1060" w:type="dxa"/>
            <w:tcBorders>
              <w:top w:val="single" w:color="auto" w:sz="4" w:space="0"/>
              <w:left w:val="nil"/>
              <w:bottom w:val="single" w:color="auto" w:sz="4" w:space="0"/>
              <w:right w:val="single" w:color="auto" w:sz="4" w:space="0"/>
            </w:tcBorders>
            <w:noWrap w:val="0"/>
            <w:vAlign w:val="center"/>
          </w:tcPr>
          <w:p w14:paraId="46D0032F">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0C6616A3">
            <w:pPr>
              <w:adjustRightInd w:val="0"/>
              <w:snapToGrid w:val="0"/>
              <w:spacing w:before="0" w:beforeAutospacing="0" w:after="0" w:afterAutospacing="0"/>
              <w:ind w:left="0" w:right="0"/>
              <w:jc w:val="left"/>
              <w:rPr>
                <w:rFonts w:hint="default"/>
                <w:color w:val="auto"/>
                <w:szCs w:val="21"/>
              </w:rPr>
            </w:pPr>
            <w:r>
              <w:rPr>
                <w:rFonts w:hint="eastAsia"/>
                <w:color w:val="auto"/>
              </w:rPr>
              <w:t>有一项设置不正确扣</w:t>
            </w:r>
            <w:r>
              <w:rPr>
                <w:rFonts w:hint="default"/>
                <w:color w:val="auto"/>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224D51BB">
            <w:pPr>
              <w:adjustRightInd w:val="0"/>
              <w:snapToGrid w:val="0"/>
              <w:spacing w:before="0" w:beforeAutospacing="0" w:after="0" w:afterAutospacing="0"/>
              <w:ind w:left="0" w:right="0"/>
              <w:jc w:val="left"/>
              <w:rPr>
                <w:rFonts w:hint="default"/>
                <w:color w:val="auto"/>
                <w:szCs w:val="21"/>
              </w:rPr>
            </w:pPr>
          </w:p>
        </w:tc>
      </w:tr>
      <w:tr w14:paraId="7185E2FA">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auto" w:sz="4" w:space="0"/>
              <w:right w:val="single" w:color="auto" w:sz="4" w:space="0"/>
            </w:tcBorders>
            <w:noWrap w:val="0"/>
            <w:vAlign w:val="center"/>
          </w:tcPr>
          <w:p w14:paraId="7B40D393">
            <w:pPr>
              <w:adjustRightInd w:val="0"/>
              <w:snapToGrid w:val="0"/>
              <w:spacing w:before="0" w:beforeAutospacing="0" w:after="0" w:afterAutospacing="0"/>
              <w:ind w:left="0" w:right="0"/>
              <w:jc w:val="center"/>
              <w:rPr>
                <w:rFonts w:hint="default"/>
                <w:b/>
                <w:bCs/>
                <w:color w:val="auto"/>
                <w:szCs w:val="21"/>
              </w:rPr>
            </w:pPr>
            <w:r>
              <w:rPr>
                <w:rFonts w:hint="default"/>
                <w:b/>
                <w:bCs/>
                <w:color w:val="auto"/>
              </w:rPr>
              <w:t>2.</w:t>
            </w:r>
            <w:r>
              <w:rPr>
                <w:rFonts w:hint="eastAsia" w:ascii="宋体" w:hAnsi="宋体"/>
                <w:b/>
                <w:bCs/>
                <w:color w:val="auto"/>
              </w:rPr>
              <w:t>仪器性能测试</w:t>
            </w:r>
          </w:p>
          <w:p w14:paraId="5EF57767">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w:t>
            </w:r>
            <w:r>
              <w:rPr>
                <w:rFonts w:hint="eastAsia"/>
                <w:b/>
                <w:bCs/>
                <w:color w:val="auto"/>
                <w:lang w:val="en-US" w:eastAsia="zh-CN"/>
              </w:rPr>
              <w:t>22.5</w:t>
            </w:r>
            <w:r>
              <w:rPr>
                <w:rFonts w:hint="eastAsia" w:ascii="宋体" w:hAnsi="宋体"/>
                <w:b/>
                <w:bCs/>
                <w:color w:val="auto"/>
              </w:rPr>
              <w:t>分）</w:t>
            </w:r>
          </w:p>
        </w:tc>
        <w:tc>
          <w:tcPr>
            <w:tcW w:w="5400" w:type="dxa"/>
            <w:tcBorders>
              <w:top w:val="single" w:color="auto" w:sz="4" w:space="0"/>
              <w:left w:val="nil"/>
              <w:bottom w:val="single" w:color="auto" w:sz="4" w:space="0"/>
              <w:right w:val="single" w:color="auto" w:sz="4" w:space="0"/>
            </w:tcBorders>
            <w:noWrap w:val="0"/>
            <w:vAlign w:val="center"/>
          </w:tcPr>
          <w:p w14:paraId="71D755EB">
            <w:pPr>
              <w:adjustRightInd w:val="0"/>
              <w:snapToGrid w:val="0"/>
              <w:spacing w:before="0" w:beforeAutospacing="0" w:after="0" w:afterAutospacing="0"/>
              <w:ind w:left="0" w:right="0"/>
              <w:jc w:val="left"/>
              <w:rPr>
                <w:rFonts w:hint="default"/>
                <w:color w:val="auto"/>
                <w:kern w:val="0"/>
                <w:szCs w:val="21"/>
              </w:rPr>
            </w:pPr>
            <w:r>
              <w:rPr>
                <w:rFonts w:hint="eastAsia"/>
                <w:color w:val="auto"/>
              </w:rPr>
              <w:t>仪器是否出现除停电重启外的其他报警信息</w:t>
            </w:r>
          </w:p>
        </w:tc>
        <w:tc>
          <w:tcPr>
            <w:tcW w:w="1060" w:type="dxa"/>
            <w:tcBorders>
              <w:top w:val="single" w:color="auto" w:sz="4" w:space="0"/>
              <w:left w:val="nil"/>
              <w:bottom w:val="single" w:color="auto" w:sz="4" w:space="0"/>
              <w:right w:val="single" w:color="auto" w:sz="4" w:space="0"/>
            </w:tcBorders>
            <w:noWrap w:val="0"/>
            <w:vAlign w:val="center"/>
          </w:tcPr>
          <w:p w14:paraId="56045B57">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1.5</w:t>
            </w:r>
          </w:p>
        </w:tc>
        <w:tc>
          <w:tcPr>
            <w:tcW w:w="1525" w:type="dxa"/>
            <w:tcBorders>
              <w:top w:val="single" w:color="auto" w:sz="4" w:space="0"/>
              <w:left w:val="nil"/>
              <w:bottom w:val="single" w:color="auto" w:sz="4" w:space="0"/>
              <w:right w:val="single" w:color="auto" w:sz="4" w:space="0"/>
            </w:tcBorders>
            <w:noWrap w:val="0"/>
            <w:vAlign w:val="center"/>
          </w:tcPr>
          <w:p w14:paraId="6F4C4081">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2D4397D2">
            <w:pPr>
              <w:adjustRightInd w:val="0"/>
              <w:snapToGrid w:val="0"/>
              <w:spacing w:before="0" w:beforeAutospacing="0" w:after="0" w:afterAutospacing="0"/>
              <w:ind w:left="0" w:right="0"/>
              <w:jc w:val="left"/>
              <w:rPr>
                <w:rFonts w:hint="default"/>
                <w:color w:val="auto"/>
                <w:szCs w:val="21"/>
              </w:rPr>
            </w:pPr>
          </w:p>
        </w:tc>
      </w:tr>
      <w:tr w14:paraId="77EDC2E3">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22275FBB">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0C3748AB">
            <w:pPr>
              <w:adjustRightInd w:val="0"/>
              <w:snapToGrid w:val="0"/>
              <w:spacing w:before="0" w:beforeAutospacing="0" w:after="0" w:afterAutospacing="0"/>
              <w:ind w:left="0" w:right="0"/>
              <w:jc w:val="left"/>
              <w:rPr>
                <w:rFonts w:hint="default"/>
                <w:color w:val="auto"/>
                <w:szCs w:val="21"/>
              </w:rPr>
            </w:pPr>
            <w:r>
              <w:rPr>
                <w:rFonts w:hint="eastAsia"/>
                <w:color w:val="auto"/>
              </w:rPr>
              <w:t>更换的备品备件是否是原厂</w:t>
            </w:r>
          </w:p>
        </w:tc>
        <w:tc>
          <w:tcPr>
            <w:tcW w:w="1060" w:type="dxa"/>
            <w:tcBorders>
              <w:top w:val="single" w:color="auto" w:sz="4" w:space="0"/>
              <w:left w:val="nil"/>
              <w:bottom w:val="single" w:color="auto" w:sz="4" w:space="0"/>
              <w:right w:val="single" w:color="auto" w:sz="4" w:space="0"/>
            </w:tcBorders>
            <w:noWrap w:val="0"/>
            <w:vAlign w:val="center"/>
          </w:tcPr>
          <w:p w14:paraId="63F7FB8A">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19DE1BD1">
            <w:pPr>
              <w:adjustRightInd w:val="0"/>
              <w:snapToGrid w:val="0"/>
              <w:spacing w:before="0" w:beforeAutospacing="0" w:after="0" w:afterAutospacing="0"/>
              <w:ind w:left="0" w:right="0"/>
              <w:jc w:val="left"/>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015B55B9">
            <w:pPr>
              <w:adjustRightInd w:val="0"/>
              <w:snapToGrid w:val="0"/>
              <w:spacing w:before="0" w:beforeAutospacing="0" w:after="0" w:afterAutospacing="0"/>
              <w:ind w:left="0" w:right="0"/>
              <w:jc w:val="left"/>
              <w:rPr>
                <w:rFonts w:hint="default"/>
                <w:color w:val="auto"/>
                <w:szCs w:val="21"/>
              </w:rPr>
            </w:pPr>
          </w:p>
        </w:tc>
      </w:tr>
      <w:tr w14:paraId="350D7A8B">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BDF8AF8">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6CB7F5B7">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动态校准仪质量流量控制器（</w:t>
            </w:r>
            <w:r>
              <w:rPr>
                <w:rFonts w:hint="default"/>
                <w:color w:val="auto"/>
                <w:kern w:val="0"/>
              </w:rPr>
              <w:t>MFC</w:t>
            </w:r>
            <w:r>
              <w:rPr>
                <w:rFonts w:hint="eastAsia" w:ascii="宋体" w:hAnsi="宋体"/>
                <w:color w:val="auto"/>
                <w:kern w:val="0"/>
              </w:rPr>
              <w:t>）单点流量测试：标准温度：</w:t>
            </w:r>
            <w:r>
              <w:rPr>
                <w:rFonts w:hint="default"/>
                <w:color w:val="auto"/>
                <w:kern w:val="0"/>
              </w:rPr>
              <w:t>________</w:t>
            </w:r>
            <w:r>
              <w:rPr>
                <w:rFonts w:hint="eastAsia" w:ascii="宋体" w:hAnsi="宋体"/>
                <w:color w:val="auto"/>
                <w:kern w:val="0"/>
              </w:rPr>
              <w:t>标准气压</w:t>
            </w:r>
            <w:r>
              <w:rPr>
                <w:rFonts w:hint="default"/>
                <w:color w:val="auto"/>
                <w:kern w:val="0"/>
              </w:rPr>
              <w:t>__________</w:t>
            </w:r>
          </w:p>
          <w:p w14:paraId="49613760">
            <w:pPr>
              <w:adjustRightInd w:val="0"/>
              <w:snapToGrid w:val="0"/>
              <w:spacing w:before="0" w:beforeAutospacing="0" w:after="0" w:afterAutospacing="0"/>
              <w:ind w:left="0" w:right="0"/>
              <w:jc w:val="left"/>
              <w:rPr>
                <w:rFonts w:hint="default"/>
                <w:color w:val="auto"/>
                <w:kern w:val="0"/>
                <w:u w:val="single"/>
              </w:rPr>
            </w:pPr>
            <w:r>
              <w:rPr>
                <w:rFonts w:hint="eastAsia"/>
                <w:color w:val="auto"/>
                <w:kern w:val="0"/>
              </w:rPr>
              <w:t>零气</w:t>
            </w:r>
            <w:r>
              <w:rPr>
                <w:rFonts w:hint="default"/>
                <w:color w:val="auto"/>
                <w:kern w:val="0"/>
              </w:rPr>
              <w:t>MFC</w:t>
            </w:r>
            <w:r>
              <w:rPr>
                <w:rFonts w:hint="eastAsia"/>
                <w:color w:val="auto"/>
                <w:kern w:val="0"/>
              </w:rPr>
              <w:t>流量：</w:t>
            </w:r>
            <w:r>
              <w:rPr>
                <w:rFonts w:hint="default"/>
                <w:color w:val="auto"/>
                <w:kern w:val="0"/>
                <w:u w:val="single"/>
              </w:rPr>
              <w:t xml:space="preserve">   </w:t>
            </w:r>
            <w:r>
              <w:rPr>
                <w:rFonts w:hint="default"/>
                <w:color w:val="auto"/>
                <w:kern w:val="0"/>
              </w:rPr>
              <w:t>L/min,</w:t>
            </w:r>
            <w:r>
              <w:rPr>
                <w:rFonts w:hint="eastAsia"/>
                <w:color w:val="auto"/>
                <w:kern w:val="0"/>
              </w:rPr>
              <w:t>标准流量计测值：</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eastAsia"/>
                <w:color w:val="auto"/>
                <w:kern w:val="0"/>
              </w:rPr>
              <w:t>（</w:t>
            </w:r>
            <w:r>
              <w:rPr>
                <w:rFonts w:hint="default"/>
                <w:color w:val="auto"/>
                <w:kern w:val="0"/>
              </w:rPr>
              <w:t>≤±2%</w:t>
            </w:r>
            <w:r>
              <w:rPr>
                <w:rFonts w:hint="eastAsia" w:ascii="宋体" w:hAnsi="宋体"/>
                <w:color w:val="auto"/>
                <w:kern w:val="0"/>
              </w:rPr>
              <w:t>）</w:t>
            </w:r>
          </w:p>
          <w:p w14:paraId="384DBE89">
            <w:pPr>
              <w:adjustRightInd w:val="0"/>
              <w:snapToGrid w:val="0"/>
              <w:spacing w:before="0" w:beforeAutospacing="0" w:after="0" w:afterAutospacing="0"/>
              <w:ind w:left="0" w:right="0"/>
              <w:jc w:val="left"/>
              <w:rPr>
                <w:rFonts w:hint="default"/>
                <w:color w:val="auto"/>
                <w:kern w:val="0"/>
                <w:szCs w:val="21"/>
                <w:u w:val="single"/>
              </w:rPr>
            </w:pPr>
            <w:r>
              <w:rPr>
                <w:rFonts w:hint="eastAsia"/>
                <w:color w:val="auto"/>
                <w:kern w:val="0"/>
              </w:rPr>
              <w:t>标气</w:t>
            </w:r>
            <w:r>
              <w:rPr>
                <w:rFonts w:hint="default"/>
                <w:color w:val="auto"/>
                <w:kern w:val="0"/>
              </w:rPr>
              <w:t>MFC</w:t>
            </w:r>
            <w:r>
              <w:rPr>
                <w:rFonts w:hint="eastAsia" w:ascii="宋体" w:hAnsi="宋体"/>
                <w:color w:val="auto"/>
                <w:kern w:val="0"/>
              </w:rPr>
              <w:t>流量：</w:t>
            </w:r>
            <w:r>
              <w:rPr>
                <w:rFonts w:hint="default"/>
                <w:color w:val="auto"/>
                <w:kern w:val="0"/>
                <w:u w:val="single"/>
              </w:rPr>
              <w:t xml:space="preserve">   </w:t>
            </w:r>
            <w:r>
              <w:rPr>
                <w:rFonts w:hint="default"/>
                <w:color w:val="auto"/>
                <w:kern w:val="0"/>
              </w:rPr>
              <w:t>mL/min,</w:t>
            </w:r>
            <w:r>
              <w:rPr>
                <w:rFonts w:hint="eastAsia" w:ascii="宋体" w:hAnsi="宋体"/>
                <w:color w:val="auto"/>
                <w:kern w:val="0"/>
              </w:rPr>
              <w:t>标准流量计测值：</w:t>
            </w:r>
            <w:r>
              <w:rPr>
                <w:rFonts w:hint="default"/>
                <w:color w:val="auto"/>
                <w:kern w:val="0"/>
                <w:u w:val="single"/>
              </w:rPr>
              <w:t xml:space="preserve">      </w:t>
            </w:r>
            <w:r>
              <w:rPr>
                <w:rFonts w:hint="default"/>
                <w:color w:val="auto"/>
                <w:kern w:val="0"/>
              </w:rPr>
              <w:t>mL/min</w:t>
            </w:r>
            <w:r>
              <w:rPr>
                <w:rFonts w:hint="eastAsia" w:ascii="宋体" w:hAnsi="宋体"/>
                <w:color w:val="auto"/>
                <w:kern w:val="0"/>
              </w:rPr>
              <w:t>，相对误差</w:t>
            </w:r>
            <w:r>
              <w:rPr>
                <w:rFonts w:hint="default"/>
                <w:color w:val="auto"/>
                <w:kern w:val="0"/>
                <w:u w:val="single"/>
              </w:rPr>
              <w:t xml:space="preserve">    %</w:t>
            </w:r>
            <w:r>
              <w:rPr>
                <w:rFonts w:hint="eastAsia"/>
                <w:color w:val="auto"/>
                <w:kern w:val="0"/>
              </w:rPr>
              <w:t>（</w:t>
            </w:r>
            <w:r>
              <w:rPr>
                <w:rFonts w:hint="default"/>
                <w:color w:val="auto"/>
                <w:kern w:val="0"/>
              </w:rPr>
              <w:t>≤±2%</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741E66C2">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3</w:t>
            </w:r>
          </w:p>
        </w:tc>
        <w:tc>
          <w:tcPr>
            <w:tcW w:w="1525" w:type="dxa"/>
            <w:tcBorders>
              <w:top w:val="single" w:color="auto" w:sz="4" w:space="0"/>
              <w:left w:val="nil"/>
              <w:bottom w:val="single" w:color="auto" w:sz="4" w:space="0"/>
              <w:right w:val="single" w:color="auto" w:sz="4" w:space="0"/>
            </w:tcBorders>
            <w:noWrap w:val="0"/>
            <w:vAlign w:val="center"/>
          </w:tcPr>
          <w:p w14:paraId="09F3798A">
            <w:pPr>
              <w:snapToGrid w:val="0"/>
              <w:spacing w:before="0" w:beforeAutospacing="0" w:after="0" w:afterAutospacing="0"/>
              <w:ind w:left="0" w:right="0"/>
              <w:rPr>
                <w:rFonts w:hint="default"/>
                <w:color w:val="auto"/>
                <w:szCs w:val="21"/>
              </w:rPr>
            </w:pPr>
            <w:r>
              <w:rPr>
                <w:rFonts w:hint="eastAsia"/>
                <w:color w:val="auto"/>
              </w:rPr>
              <w:t>每项</w:t>
            </w:r>
            <w:r>
              <w:rPr>
                <w:rFonts w:hint="eastAsia"/>
                <w:color w:val="auto"/>
                <w:lang w:val="en-US" w:eastAsia="zh-CN"/>
              </w:rPr>
              <w:t>3</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5C87C0B1">
            <w:pPr>
              <w:adjustRightInd w:val="0"/>
              <w:snapToGrid w:val="0"/>
              <w:spacing w:before="0" w:beforeAutospacing="0" w:after="0" w:afterAutospacing="0"/>
              <w:ind w:left="0" w:right="0"/>
              <w:jc w:val="center"/>
              <w:rPr>
                <w:rFonts w:hint="default"/>
                <w:color w:val="auto"/>
                <w:szCs w:val="21"/>
              </w:rPr>
            </w:pPr>
          </w:p>
        </w:tc>
      </w:tr>
      <w:tr w14:paraId="6520E6AD">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00E1F1A0">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5F3250F6">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气态污染物采样流量测试：</w:t>
            </w:r>
          </w:p>
          <w:p w14:paraId="3D0F73CB">
            <w:pPr>
              <w:adjustRightInd w:val="0"/>
              <w:snapToGrid w:val="0"/>
              <w:spacing w:before="0" w:beforeAutospacing="0" w:after="0" w:afterAutospacing="0"/>
              <w:ind w:left="0" w:right="0"/>
              <w:jc w:val="left"/>
              <w:rPr>
                <w:rFonts w:hint="default"/>
                <w:color w:val="auto"/>
                <w:kern w:val="0"/>
                <w:u w:val="single"/>
              </w:rPr>
            </w:pPr>
            <w:r>
              <w:rPr>
                <w:rFonts w:hint="default"/>
                <w:color w:val="auto"/>
                <w:kern w:val="0"/>
              </w:rPr>
              <w:t>SO</w:t>
            </w:r>
            <w:r>
              <w:rPr>
                <w:rFonts w:hint="default"/>
                <w:color w:val="auto"/>
                <w:kern w:val="0"/>
                <w:vertAlign w:val="subscript"/>
              </w:rPr>
              <w:t>2</w:t>
            </w:r>
            <w:r>
              <w:rPr>
                <w:rFonts w:hint="eastAsia"/>
                <w:color w:val="auto"/>
                <w:kern w:val="0"/>
              </w:rPr>
              <w:t>显示流量：</w:t>
            </w:r>
            <w:r>
              <w:rPr>
                <w:rFonts w:hint="default"/>
                <w:color w:val="auto"/>
                <w:kern w:val="0"/>
                <w:u w:val="single"/>
              </w:rPr>
              <w:t xml:space="preserve">          </w:t>
            </w:r>
            <w:r>
              <w:rPr>
                <w:rFonts w:hint="default"/>
                <w:color w:val="auto"/>
                <w:kern w:val="0"/>
              </w:rPr>
              <w:t>L/min</w:t>
            </w:r>
            <w:r>
              <w:rPr>
                <w:rFonts w:hint="eastAsia" w:ascii="宋体" w:hAnsi="宋体"/>
                <w:color w:val="auto"/>
                <w:kern w:val="0"/>
              </w:rPr>
              <w:t>，流量计测值：</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≤±10%</w:t>
            </w:r>
            <w:r>
              <w:rPr>
                <w:rFonts w:hint="eastAsia" w:ascii="宋体" w:hAnsi="宋体"/>
                <w:color w:val="auto"/>
                <w:kern w:val="0"/>
              </w:rPr>
              <w:t>）；</w:t>
            </w:r>
          </w:p>
          <w:p w14:paraId="304B002B">
            <w:pPr>
              <w:adjustRightInd w:val="0"/>
              <w:snapToGrid w:val="0"/>
              <w:spacing w:before="0" w:beforeAutospacing="0" w:after="0" w:afterAutospacing="0"/>
              <w:ind w:left="0" w:right="0"/>
              <w:jc w:val="left"/>
              <w:rPr>
                <w:rFonts w:hint="default"/>
                <w:color w:val="auto"/>
                <w:kern w:val="0"/>
                <w:u w:val="single"/>
              </w:rPr>
            </w:pPr>
            <w:r>
              <w:rPr>
                <w:rFonts w:hint="default"/>
                <w:color w:val="auto"/>
                <w:kern w:val="0"/>
              </w:rPr>
              <w:t>NO</w:t>
            </w:r>
            <w:r>
              <w:rPr>
                <w:rFonts w:hint="default"/>
                <w:color w:val="auto"/>
                <w:kern w:val="0"/>
                <w:vertAlign w:val="subscript"/>
              </w:rPr>
              <w:t>x</w:t>
            </w:r>
            <w:r>
              <w:rPr>
                <w:rFonts w:hint="eastAsia"/>
                <w:color w:val="auto"/>
                <w:kern w:val="0"/>
              </w:rPr>
              <w:t>显示流量：</w:t>
            </w:r>
            <w:r>
              <w:rPr>
                <w:rFonts w:hint="default"/>
                <w:color w:val="auto"/>
                <w:kern w:val="0"/>
                <w:u w:val="single"/>
              </w:rPr>
              <w:t xml:space="preserve">         </w:t>
            </w:r>
            <w:r>
              <w:rPr>
                <w:rFonts w:hint="default"/>
                <w:color w:val="auto"/>
                <w:kern w:val="0"/>
              </w:rPr>
              <w:t>L/min</w:t>
            </w:r>
            <w:r>
              <w:rPr>
                <w:rFonts w:hint="eastAsia" w:ascii="宋体" w:hAnsi="宋体"/>
                <w:color w:val="auto"/>
                <w:kern w:val="0"/>
              </w:rPr>
              <w:t>，流量计测值：</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≤±10%</w:t>
            </w:r>
            <w:r>
              <w:rPr>
                <w:rFonts w:hint="eastAsia" w:ascii="宋体" w:hAnsi="宋体"/>
                <w:color w:val="auto"/>
                <w:kern w:val="0"/>
              </w:rPr>
              <w:t>）；</w:t>
            </w:r>
          </w:p>
          <w:p w14:paraId="261BADA4">
            <w:pPr>
              <w:adjustRightInd w:val="0"/>
              <w:snapToGrid w:val="0"/>
              <w:spacing w:before="0" w:beforeAutospacing="0" w:after="0" w:afterAutospacing="0"/>
              <w:ind w:left="0" w:right="0"/>
              <w:jc w:val="left"/>
              <w:rPr>
                <w:rFonts w:hint="default"/>
                <w:color w:val="auto"/>
                <w:kern w:val="0"/>
                <w:u w:val="single"/>
              </w:rPr>
            </w:pPr>
            <w:r>
              <w:rPr>
                <w:rFonts w:hint="default"/>
                <w:color w:val="auto"/>
                <w:kern w:val="0"/>
              </w:rPr>
              <w:t>CO</w:t>
            </w:r>
            <w:r>
              <w:rPr>
                <w:rFonts w:hint="eastAsia" w:ascii="宋体" w:hAnsi="宋体"/>
                <w:color w:val="auto"/>
                <w:kern w:val="0"/>
              </w:rPr>
              <w:t>显示流量：</w:t>
            </w:r>
            <w:r>
              <w:rPr>
                <w:rFonts w:hint="default"/>
                <w:color w:val="auto"/>
                <w:kern w:val="0"/>
                <w:u w:val="single"/>
              </w:rPr>
              <w:t xml:space="preserve">          </w:t>
            </w:r>
            <w:r>
              <w:rPr>
                <w:rFonts w:hint="default"/>
                <w:color w:val="auto"/>
                <w:kern w:val="0"/>
              </w:rPr>
              <w:t>L/min</w:t>
            </w:r>
            <w:r>
              <w:rPr>
                <w:rFonts w:hint="eastAsia" w:ascii="宋体" w:hAnsi="宋体"/>
                <w:color w:val="auto"/>
                <w:kern w:val="0"/>
              </w:rPr>
              <w:t>，流量计测值：</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≤±10%</w:t>
            </w:r>
            <w:r>
              <w:rPr>
                <w:rFonts w:hint="eastAsia" w:ascii="宋体" w:hAnsi="宋体"/>
                <w:color w:val="auto"/>
                <w:kern w:val="0"/>
              </w:rPr>
              <w:t>）；</w:t>
            </w:r>
          </w:p>
          <w:p w14:paraId="3BEEF2E9">
            <w:pPr>
              <w:adjustRightInd w:val="0"/>
              <w:snapToGrid w:val="0"/>
              <w:spacing w:before="0" w:beforeAutospacing="0" w:after="0" w:afterAutospacing="0"/>
              <w:ind w:left="0" w:right="0"/>
              <w:jc w:val="left"/>
              <w:rPr>
                <w:rFonts w:hint="default"/>
                <w:color w:val="auto"/>
                <w:kern w:val="0"/>
                <w:szCs w:val="21"/>
                <w:u w:val="single"/>
              </w:rPr>
            </w:pPr>
            <w:r>
              <w:rPr>
                <w:rFonts w:hint="default"/>
                <w:color w:val="auto"/>
                <w:kern w:val="0"/>
              </w:rPr>
              <w:t>O</w:t>
            </w:r>
            <w:r>
              <w:rPr>
                <w:rFonts w:hint="default"/>
                <w:color w:val="auto"/>
                <w:kern w:val="0"/>
                <w:vertAlign w:val="subscript"/>
              </w:rPr>
              <w:t>3</w:t>
            </w:r>
            <w:r>
              <w:rPr>
                <w:rFonts w:hint="eastAsia"/>
                <w:color w:val="auto"/>
                <w:kern w:val="0"/>
              </w:rPr>
              <w:t>显示流量：</w:t>
            </w:r>
            <w:r>
              <w:rPr>
                <w:rFonts w:hint="default"/>
                <w:color w:val="auto"/>
                <w:kern w:val="0"/>
                <w:u w:val="single"/>
              </w:rPr>
              <w:t xml:space="preserve">          </w:t>
            </w:r>
            <w:r>
              <w:rPr>
                <w:rFonts w:hint="default"/>
                <w:color w:val="auto"/>
                <w:kern w:val="0"/>
              </w:rPr>
              <w:t>L/min</w:t>
            </w:r>
            <w:r>
              <w:rPr>
                <w:rFonts w:hint="eastAsia" w:ascii="宋体" w:hAnsi="宋体"/>
                <w:color w:val="auto"/>
                <w:kern w:val="0"/>
              </w:rPr>
              <w:t>，流量计测值：</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≤±10%</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1A730923">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3</w:t>
            </w:r>
          </w:p>
        </w:tc>
        <w:tc>
          <w:tcPr>
            <w:tcW w:w="1525" w:type="dxa"/>
            <w:tcBorders>
              <w:top w:val="single" w:color="auto" w:sz="4" w:space="0"/>
              <w:left w:val="nil"/>
              <w:bottom w:val="single" w:color="auto" w:sz="4" w:space="0"/>
              <w:right w:val="single" w:color="auto" w:sz="4" w:space="0"/>
            </w:tcBorders>
            <w:noWrap w:val="0"/>
            <w:vAlign w:val="center"/>
          </w:tcPr>
          <w:p w14:paraId="2204AAD3">
            <w:pPr>
              <w:snapToGrid w:val="0"/>
              <w:spacing w:before="0" w:beforeAutospacing="0" w:after="0" w:afterAutospacing="0"/>
              <w:ind w:left="0" w:right="0"/>
              <w:rPr>
                <w:rFonts w:hint="default"/>
                <w:color w:val="auto"/>
                <w:szCs w:val="21"/>
              </w:rPr>
            </w:pPr>
            <w:r>
              <w:rPr>
                <w:rFonts w:hint="eastAsia"/>
                <w:color w:val="auto"/>
              </w:rPr>
              <w:t>一项超误差范围扣</w:t>
            </w:r>
            <w:r>
              <w:rPr>
                <w:rFonts w:hint="eastAsia"/>
                <w:color w:val="auto"/>
                <w:lang w:val="en-US" w:eastAsia="zh-CN"/>
              </w:rPr>
              <w:t>3</w:t>
            </w:r>
            <w:r>
              <w:rPr>
                <w:rFonts w:hint="eastAsia" w:ascii="宋体" w:hAnsi="宋体"/>
                <w:color w:val="auto"/>
              </w:rPr>
              <w:t xml:space="preserve">分 </w:t>
            </w:r>
          </w:p>
        </w:tc>
        <w:tc>
          <w:tcPr>
            <w:tcW w:w="655" w:type="dxa"/>
            <w:tcBorders>
              <w:top w:val="single" w:color="auto" w:sz="4" w:space="0"/>
              <w:left w:val="nil"/>
              <w:bottom w:val="single" w:color="auto" w:sz="4" w:space="0"/>
              <w:right w:val="single" w:color="auto" w:sz="4" w:space="0"/>
            </w:tcBorders>
            <w:noWrap w:val="0"/>
            <w:vAlign w:val="center"/>
          </w:tcPr>
          <w:p w14:paraId="3DA63D84">
            <w:pPr>
              <w:adjustRightInd w:val="0"/>
              <w:snapToGrid w:val="0"/>
              <w:spacing w:before="0" w:beforeAutospacing="0" w:after="0" w:afterAutospacing="0"/>
              <w:ind w:left="0" w:right="0"/>
              <w:jc w:val="center"/>
              <w:rPr>
                <w:rFonts w:hint="default"/>
                <w:color w:val="auto"/>
                <w:szCs w:val="21"/>
              </w:rPr>
            </w:pPr>
          </w:p>
        </w:tc>
      </w:tr>
      <w:tr w14:paraId="3C88768A">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5A6DF22E">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440D636F">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颗粒物采样总流量测试：</w:t>
            </w:r>
          </w:p>
          <w:p w14:paraId="3EF2B72E">
            <w:pPr>
              <w:adjustRightInd w:val="0"/>
              <w:snapToGrid w:val="0"/>
              <w:spacing w:before="0" w:beforeAutospacing="0" w:after="0" w:afterAutospacing="0"/>
              <w:ind w:left="0" w:right="0"/>
              <w:jc w:val="left"/>
              <w:rPr>
                <w:rFonts w:hint="default"/>
                <w:color w:val="auto"/>
                <w:kern w:val="0"/>
                <w:u w:val="single"/>
              </w:rPr>
            </w:pPr>
            <w:r>
              <w:rPr>
                <w:rFonts w:hint="default"/>
                <w:color w:val="auto"/>
                <w:kern w:val="0"/>
              </w:rPr>
              <w:t>PM</w:t>
            </w:r>
            <w:r>
              <w:rPr>
                <w:rFonts w:hint="default"/>
                <w:color w:val="auto"/>
                <w:kern w:val="0"/>
                <w:vertAlign w:val="subscript"/>
              </w:rPr>
              <w:t>10</w:t>
            </w:r>
            <w:r>
              <w:rPr>
                <w:rFonts w:hint="eastAsia"/>
                <w:color w:val="auto"/>
                <w:kern w:val="0"/>
              </w:rPr>
              <w:t>：流量计：</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≤±5%</w:t>
            </w:r>
            <w:r>
              <w:rPr>
                <w:rFonts w:hint="eastAsia" w:ascii="宋体" w:hAnsi="宋体"/>
                <w:color w:val="auto"/>
                <w:kern w:val="0"/>
              </w:rPr>
              <w:t>）</w:t>
            </w:r>
          </w:p>
          <w:p w14:paraId="142548E2">
            <w:pPr>
              <w:adjustRightInd w:val="0"/>
              <w:snapToGrid w:val="0"/>
              <w:spacing w:before="0" w:beforeAutospacing="0" w:after="0" w:afterAutospacing="0"/>
              <w:ind w:left="0" w:right="0"/>
              <w:jc w:val="left"/>
              <w:rPr>
                <w:rFonts w:hint="default"/>
                <w:color w:val="auto"/>
                <w:kern w:val="0"/>
                <w:szCs w:val="21"/>
                <w:u w:val="single"/>
              </w:rPr>
            </w:pPr>
            <w:r>
              <w:rPr>
                <w:rFonts w:hint="default"/>
                <w:color w:val="auto"/>
                <w:kern w:val="0"/>
              </w:rPr>
              <w:t>PM</w:t>
            </w:r>
            <w:r>
              <w:rPr>
                <w:rFonts w:hint="default"/>
                <w:color w:val="auto"/>
                <w:kern w:val="0"/>
                <w:vertAlign w:val="subscript"/>
              </w:rPr>
              <w:t>2.5</w:t>
            </w:r>
            <w:r>
              <w:rPr>
                <w:rFonts w:hint="eastAsia"/>
                <w:color w:val="auto"/>
                <w:kern w:val="0"/>
              </w:rPr>
              <w:t>：流量计：</w:t>
            </w:r>
            <w:r>
              <w:rPr>
                <w:rFonts w:hint="default"/>
                <w:color w:val="auto"/>
                <w:kern w:val="0"/>
                <w:u w:val="single"/>
              </w:rPr>
              <w:t xml:space="preserve">       </w:t>
            </w:r>
            <w:r>
              <w:rPr>
                <w:rFonts w:hint="default"/>
                <w:color w:val="auto"/>
                <w:kern w:val="0"/>
              </w:rPr>
              <w:t>L/min</w:t>
            </w:r>
            <w:r>
              <w:rPr>
                <w:rFonts w:hint="eastAsia" w:ascii="宋体" w:hAnsi="宋体"/>
                <w:color w:val="auto"/>
                <w:kern w:val="0"/>
              </w:rPr>
              <w:t>，相对误差</w:t>
            </w:r>
            <w:r>
              <w:rPr>
                <w:rFonts w:hint="default"/>
                <w:color w:val="auto"/>
                <w:kern w:val="0"/>
                <w:u w:val="single"/>
              </w:rPr>
              <w:t xml:space="preserve">    </w:t>
            </w:r>
            <w:r>
              <w:rPr>
                <w:rFonts w:hint="default"/>
                <w:color w:val="auto"/>
                <w:kern w:val="0"/>
              </w:rPr>
              <w:t>%</w:t>
            </w:r>
            <w:r>
              <w:rPr>
                <w:rFonts w:hint="eastAsia" w:ascii="宋体" w:hAnsi="宋体"/>
                <w:color w:val="auto"/>
                <w:kern w:val="0"/>
              </w:rPr>
              <w:t>（</w:t>
            </w:r>
            <w:r>
              <w:rPr>
                <w:rFonts w:hint="default"/>
                <w:color w:val="auto"/>
                <w:kern w:val="0"/>
              </w:rPr>
              <w:t>≤±5%</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570756FE">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2F43E082">
            <w:pPr>
              <w:snapToGrid w:val="0"/>
              <w:spacing w:before="0" w:beforeAutospacing="0" w:after="0" w:afterAutospacing="0"/>
              <w:ind w:left="0" w:right="0"/>
              <w:rPr>
                <w:rFonts w:hint="default"/>
                <w:color w:val="auto"/>
                <w:szCs w:val="21"/>
              </w:rPr>
            </w:pPr>
            <w:r>
              <w:rPr>
                <w:rFonts w:hint="eastAsia"/>
                <w:color w:val="auto"/>
              </w:rPr>
              <w:t>每项</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0B1EEAB9">
            <w:pPr>
              <w:adjustRightInd w:val="0"/>
              <w:snapToGrid w:val="0"/>
              <w:spacing w:before="0" w:beforeAutospacing="0" w:after="0" w:afterAutospacing="0"/>
              <w:ind w:left="0" w:right="0"/>
              <w:jc w:val="center"/>
              <w:rPr>
                <w:rFonts w:hint="default"/>
                <w:color w:val="auto"/>
                <w:szCs w:val="21"/>
              </w:rPr>
            </w:pPr>
          </w:p>
        </w:tc>
      </w:tr>
      <w:tr w14:paraId="0C428230">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2F52D719">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7D08A83A">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SO</w:t>
            </w:r>
            <w:r>
              <w:rPr>
                <w:rFonts w:hint="default"/>
                <w:color w:val="auto"/>
                <w:kern w:val="0"/>
                <w:vertAlign w:val="subscript"/>
              </w:rPr>
              <w:t>2</w:t>
            </w:r>
            <w:r>
              <w:rPr>
                <w:rFonts w:hint="eastAsia"/>
                <w:color w:val="auto"/>
                <w:kern w:val="0"/>
              </w:rPr>
              <w:t>跨度测试：标气浓度</w:t>
            </w:r>
            <w:r>
              <w:rPr>
                <w:rFonts w:hint="default"/>
                <w:color w:val="auto"/>
                <w:kern w:val="0"/>
              </w:rPr>
              <w:t>_________,</w:t>
            </w:r>
            <w:r>
              <w:rPr>
                <w:rFonts w:hint="eastAsia" w:ascii="宋体" w:hAnsi="宋体"/>
                <w:color w:val="auto"/>
                <w:kern w:val="0"/>
              </w:rPr>
              <w:t>有效期</w:t>
            </w:r>
            <w:r>
              <w:rPr>
                <w:rFonts w:hint="default"/>
                <w:color w:val="auto"/>
                <w:kern w:val="0"/>
              </w:rPr>
              <w:t>______</w:t>
            </w:r>
            <w:r>
              <w:rPr>
                <w:rFonts w:hint="eastAsia"/>
                <w:color w:val="auto"/>
                <w:kern w:val="0"/>
                <w:u w:val="single"/>
                <w:lang w:val="en-US" w:eastAsia="zh-CN"/>
              </w:rPr>
              <w:t xml:space="preserve">  </w:t>
            </w:r>
            <w:r>
              <w:rPr>
                <w:rFonts w:hint="default"/>
                <w:color w:val="auto"/>
                <w:kern w:val="0"/>
              </w:rPr>
              <w:t>__</w:t>
            </w:r>
            <w:r>
              <w:rPr>
                <w:rFonts w:hint="eastAsia" w:ascii="宋体" w:hAnsi="宋体"/>
                <w:color w:val="auto"/>
                <w:kern w:val="0"/>
              </w:rPr>
              <w:t>。输出</w:t>
            </w:r>
            <w:r>
              <w:rPr>
                <w:rFonts w:hint="default"/>
                <w:color w:val="auto"/>
                <w:kern w:val="0"/>
                <w:u w:val="single"/>
              </w:rPr>
              <w:t xml:space="preserve">      </w:t>
            </w:r>
            <w:r>
              <w:rPr>
                <w:rFonts w:hint="default"/>
                <w:color w:val="auto"/>
                <w:kern w:val="0"/>
              </w:rPr>
              <w:t>ppb</w:t>
            </w:r>
            <w:r>
              <w:rPr>
                <w:rFonts w:hint="eastAsia" w:ascii="宋体" w:hAnsi="宋体"/>
                <w:color w:val="auto"/>
                <w:kern w:val="0"/>
              </w:rPr>
              <w:t xml:space="preserve">，仪器响应 </w:t>
            </w:r>
            <w:r>
              <w:rPr>
                <w:rFonts w:hint="default"/>
                <w:color w:val="auto"/>
                <w:kern w:val="0"/>
                <w:u w:val="single"/>
              </w:rPr>
              <w:t xml:space="preserve">       </w:t>
            </w:r>
            <w:r>
              <w:rPr>
                <w:rFonts w:hint="default"/>
                <w:color w:val="auto"/>
                <w:kern w:val="0"/>
              </w:rPr>
              <w:t>ppb</w:t>
            </w:r>
            <w:r>
              <w:rPr>
                <w:rFonts w:hint="eastAsia" w:ascii="宋体" w:hAnsi="宋体"/>
                <w:color w:val="auto"/>
                <w:kern w:val="0"/>
              </w:rPr>
              <w:t>，误差</w:t>
            </w:r>
            <w:r>
              <w:rPr>
                <w:rFonts w:hint="default"/>
                <w:color w:val="auto"/>
                <w:kern w:val="0"/>
              </w:rPr>
              <w:t>_______</w:t>
            </w:r>
            <w:r>
              <w:rPr>
                <w:rFonts w:hint="eastAsia" w:ascii="宋体" w:hAnsi="宋体"/>
                <w:color w:val="auto"/>
                <w:kern w:val="0"/>
              </w:rPr>
              <w:t>（</w:t>
            </w:r>
            <w:r>
              <w:rPr>
                <w:rFonts w:hint="default"/>
                <w:color w:val="auto"/>
                <w:kern w:val="0"/>
              </w:rPr>
              <w:t>≤±5%</w:t>
            </w:r>
            <w:r>
              <w:rPr>
                <w:rFonts w:hint="eastAsia" w:ascii="宋体" w:hAnsi="宋体"/>
                <w:color w:val="auto"/>
                <w:kern w:val="0"/>
              </w:rPr>
              <w:t>），响应时间</w:t>
            </w:r>
            <w:r>
              <w:rPr>
                <w:rFonts w:hint="default"/>
                <w:color w:val="auto"/>
                <w:kern w:val="0"/>
              </w:rPr>
              <w:t>t90</w:t>
            </w:r>
            <w:r>
              <w:rPr>
                <w:rFonts w:hint="eastAsia" w:ascii="宋体" w:hAnsi="宋体"/>
                <w:color w:val="auto"/>
                <w:kern w:val="0"/>
              </w:rPr>
              <w:t>：</w:t>
            </w:r>
            <w:r>
              <w:rPr>
                <w:rFonts w:hint="default"/>
                <w:color w:val="auto"/>
                <w:kern w:val="0"/>
                <w:u w:val="single"/>
              </w:rPr>
              <w:t xml:space="preserve">       </w:t>
            </w:r>
            <w:r>
              <w:rPr>
                <w:rFonts w:hint="default"/>
                <w:color w:val="auto"/>
                <w:kern w:val="0"/>
              </w:rPr>
              <w:t>min</w:t>
            </w:r>
            <w:r>
              <w:rPr>
                <w:rFonts w:hint="eastAsia" w:ascii="宋体" w:hAnsi="宋体"/>
                <w:color w:val="auto"/>
                <w:kern w:val="0"/>
              </w:rPr>
              <w:t>（</w:t>
            </w:r>
            <w:r>
              <w:rPr>
                <w:rFonts w:hint="default"/>
                <w:color w:val="auto"/>
                <w:kern w:val="0"/>
              </w:rPr>
              <w:t>≤5min</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29FF4BAE">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1344E5B2">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46212A32">
            <w:pPr>
              <w:adjustRightInd w:val="0"/>
              <w:snapToGrid w:val="0"/>
              <w:spacing w:before="0" w:beforeAutospacing="0" w:after="0" w:afterAutospacing="0"/>
              <w:ind w:left="0" w:right="0"/>
              <w:jc w:val="center"/>
              <w:rPr>
                <w:rFonts w:hint="default"/>
                <w:color w:val="auto"/>
                <w:szCs w:val="21"/>
              </w:rPr>
            </w:pPr>
          </w:p>
        </w:tc>
      </w:tr>
      <w:tr w14:paraId="564D3F67">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3C601E65">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0988FF1F">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SO</w:t>
            </w:r>
            <w:r>
              <w:rPr>
                <w:rFonts w:hint="default"/>
                <w:color w:val="auto"/>
                <w:kern w:val="0"/>
                <w:vertAlign w:val="subscript"/>
              </w:rPr>
              <w:t>2</w:t>
            </w:r>
            <w:r>
              <w:rPr>
                <w:rFonts w:hint="eastAsia"/>
                <w:color w:val="auto"/>
                <w:kern w:val="0"/>
              </w:rPr>
              <w:t>紫外灯电压</w:t>
            </w:r>
            <w:r>
              <w:rPr>
                <w:rFonts w:hint="default"/>
                <w:color w:val="auto"/>
                <w:kern w:val="0"/>
              </w:rPr>
              <w:t xml:space="preserve">__________,     </w:t>
            </w:r>
            <w:r>
              <w:rPr>
                <w:rFonts w:hint="eastAsia" w:ascii="宋体" w:hAnsi="宋体"/>
                <w:color w:val="auto"/>
                <w:kern w:val="0"/>
              </w:rPr>
              <w:t>斜率</w:t>
            </w:r>
            <w:r>
              <w:rPr>
                <w:rFonts w:hint="default"/>
                <w:color w:val="auto"/>
                <w:kern w:val="0"/>
              </w:rPr>
              <w:t xml:space="preserve">___________,    </w:t>
            </w:r>
            <w:r>
              <w:rPr>
                <w:rFonts w:hint="eastAsia" w:ascii="宋体" w:hAnsi="宋体"/>
                <w:color w:val="auto"/>
                <w:kern w:val="0"/>
              </w:rPr>
              <w:t>截距</w:t>
            </w:r>
            <w:r>
              <w:rPr>
                <w:rFonts w:hint="default"/>
                <w:color w:val="auto"/>
                <w:kern w:val="0"/>
              </w:rPr>
              <w:t>__________</w:t>
            </w:r>
          </w:p>
        </w:tc>
        <w:tc>
          <w:tcPr>
            <w:tcW w:w="1060" w:type="dxa"/>
            <w:tcBorders>
              <w:top w:val="single" w:color="auto" w:sz="4" w:space="0"/>
              <w:left w:val="nil"/>
              <w:bottom w:val="single" w:color="auto" w:sz="4" w:space="0"/>
              <w:right w:val="single" w:color="auto" w:sz="4" w:space="0"/>
            </w:tcBorders>
            <w:noWrap w:val="0"/>
            <w:vAlign w:val="center"/>
          </w:tcPr>
          <w:p w14:paraId="3AFDCCAC">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7B682194">
            <w:pPr>
              <w:snapToGrid w:val="0"/>
              <w:spacing w:before="0" w:beforeAutospacing="0" w:after="0" w:afterAutospacing="0"/>
              <w:ind w:left="0" w:right="0"/>
              <w:rPr>
                <w:rFonts w:hint="default"/>
                <w:color w:val="auto"/>
                <w:szCs w:val="21"/>
              </w:rPr>
            </w:pPr>
            <w:r>
              <w:rPr>
                <w:rFonts w:hint="eastAsia"/>
                <w:color w:val="auto"/>
              </w:rPr>
              <w:t>一项偏离正常值扣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7C29C80B">
            <w:pPr>
              <w:adjustRightInd w:val="0"/>
              <w:snapToGrid w:val="0"/>
              <w:spacing w:before="0" w:beforeAutospacing="0" w:after="0" w:afterAutospacing="0"/>
              <w:ind w:left="0" w:right="0"/>
              <w:jc w:val="center"/>
              <w:rPr>
                <w:rFonts w:hint="default"/>
                <w:color w:val="auto"/>
                <w:szCs w:val="21"/>
              </w:rPr>
            </w:pPr>
          </w:p>
        </w:tc>
      </w:tr>
      <w:tr w14:paraId="4782EF5F">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1F7CB86">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5D499529">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NO</w:t>
            </w:r>
            <w:r>
              <w:rPr>
                <w:rFonts w:hint="eastAsia" w:ascii="宋体" w:hAnsi="宋体"/>
                <w:color w:val="auto"/>
                <w:kern w:val="0"/>
              </w:rPr>
              <w:t>跨度测试：标气浓度</w:t>
            </w:r>
            <w:r>
              <w:rPr>
                <w:rFonts w:hint="default"/>
                <w:color w:val="auto"/>
                <w:kern w:val="0"/>
              </w:rPr>
              <w:t>_________,</w:t>
            </w:r>
            <w:r>
              <w:rPr>
                <w:rFonts w:hint="eastAsia" w:ascii="宋体" w:hAnsi="宋体"/>
                <w:color w:val="auto"/>
                <w:kern w:val="0"/>
              </w:rPr>
              <w:t>有效期</w:t>
            </w:r>
            <w:r>
              <w:rPr>
                <w:rFonts w:hint="default"/>
                <w:color w:val="auto"/>
                <w:kern w:val="0"/>
              </w:rPr>
              <w:t>________</w:t>
            </w:r>
            <w:r>
              <w:rPr>
                <w:rFonts w:hint="eastAsia" w:ascii="宋体" w:hAnsi="宋体"/>
                <w:color w:val="auto"/>
                <w:kern w:val="0"/>
              </w:rPr>
              <w:t>。输出</w:t>
            </w:r>
            <w:r>
              <w:rPr>
                <w:rFonts w:hint="default"/>
                <w:color w:val="auto"/>
                <w:kern w:val="0"/>
                <w:u w:val="single"/>
              </w:rPr>
              <w:t xml:space="preserve">   </w:t>
            </w:r>
            <w:r>
              <w:rPr>
                <w:rFonts w:hint="eastAsia"/>
                <w:color w:val="auto"/>
                <w:kern w:val="0"/>
                <w:u w:val="single"/>
                <w:lang w:val="en-US" w:eastAsia="zh-CN"/>
              </w:rPr>
              <w:t xml:space="preserve"> </w:t>
            </w:r>
            <w:r>
              <w:rPr>
                <w:rFonts w:hint="default"/>
                <w:color w:val="auto"/>
                <w:kern w:val="0"/>
                <w:u w:val="single"/>
              </w:rPr>
              <w:t xml:space="preserve">   </w:t>
            </w:r>
            <w:r>
              <w:rPr>
                <w:rFonts w:hint="default"/>
                <w:color w:val="auto"/>
                <w:kern w:val="0"/>
              </w:rPr>
              <w:t>ppb</w:t>
            </w:r>
            <w:r>
              <w:rPr>
                <w:rFonts w:hint="eastAsia" w:ascii="宋体" w:hAnsi="宋体"/>
                <w:color w:val="auto"/>
                <w:kern w:val="0"/>
              </w:rPr>
              <w:t xml:space="preserve">，仪器响应 </w:t>
            </w:r>
            <w:r>
              <w:rPr>
                <w:rFonts w:hint="default"/>
                <w:color w:val="auto"/>
                <w:kern w:val="0"/>
                <w:u w:val="single"/>
              </w:rPr>
              <w:t xml:space="preserve">        </w:t>
            </w:r>
            <w:r>
              <w:rPr>
                <w:rFonts w:hint="default"/>
                <w:color w:val="auto"/>
                <w:kern w:val="0"/>
              </w:rPr>
              <w:t>ppb</w:t>
            </w:r>
            <w:r>
              <w:rPr>
                <w:rFonts w:hint="eastAsia" w:ascii="宋体" w:hAnsi="宋体"/>
                <w:color w:val="auto"/>
                <w:kern w:val="0"/>
              </w:rPr>
              <w:t>，</w:t>
            </w:r>
            <w:r>
              <w:rPr>
                <w:rFonts w:hint="default"/>
                <w:color w:val="auto"/>
                <w:kern w:val="0"/>
              </w:rPr>
              <w:t>NO</w:t>
            </w:r>
            <w:r>
              <w:rPr>
                <w:rFonts w:hint="default"/>
                <w:color w:val="auto"/>
                <w:kern w:val="0"/>
                <w:vertAlign w:val="subscript"/>
              </w:rPr>
              <w:t>2</w:t>
            </w:r>
            <w:r>
              <w:rPr>
                <w:rFonts w:hint="eastAsia"/>
                <w:color w:val="auto"/>
                <w:kern w:val="0"/>
              </w:rPr>
              <w:t>响应浓度</w:t>
            </w:r>
            <w:r>
              <w:rPr>
                <w:rFonts w:hint="default"/>
                <w:color w:val="auto"/>
                <w:kern w:val="0"/>
              </w:rPr>
              <w:t>_____ppb</w:t>
            </w:r>
            <w:r>
              <w:rPr>
                <w:rFonts w:hint="eastAsia" w:ascii="宋体" w:hAnsi="宋体"/>
                <w:color w:val="auto"/>
                <w:kern w:val="0"/>
              </w:rPr>
              <w:t>（</w:t>
            </w:r>
            <w:r>
              <w:rPr>
                <w:rFonts w:hint="default"/>
                <w:color w:val="auto"/>
                <w:kern w:val="0"/>
              </w:rPr>
              <w:t>&lt;±5</w:t>
            </w:r>
            <w:r>
              <w:rPr>
                <w:rFonts w:hint="eastAsia" w:ascii="宋体" w:hAnsi="宋体"/>
                <w:color w:val="auto"/>
                <w:kern w:val="0"/>
              </w:rPr>
              <w:t>），浓度误差</w:t>
            </w:r>
            <w:r>
              <w:rPr>
                <w:rFonts w:hint="default"/>
                <w:color w:val="auto"/>
                <w:kern w:val="0"/>
              </w:rPr>
              <w:t>______</w:t>
            </w:r>
            <w:r>
              <w:rPr>
                <w:rFonts w:hint="eastAsia" w:ascii="宋体" w:hAnsi="宋体"/>
                <w:color w:val="auto"/>
                <w:kern w:val="0"/>
              </w:rPr>
              <w:t>（</w:t>
            </w:r>
            <w:r>
              <w:rPr>
                <w:rFonts w:hint="default"/>
                <w:color w:val="auto"/>
                <w:kern w:val="0"/>
              </w:rPr>
              <w:t>≤±5%</w:t>
            </w:r>
            <w:r>
              <w:rPr>
                <w:rFonts w:hint="eastAsia" w:ascii="宋体" w:hAnsi="宋体"/>
                <w:color w:val="auto"/>
                <w:kern w:val="0"/>
              </w:rPr>
              <w:t>）</w:t>
            </w:r>
            <w:r>
              <w:rPr>
                <w:rFonts w:hint="eastAsia" w:ascii="宋体" w:hAnsi="宋体"/>
                <w:color w:val="auto"/>
                <w:kern w:val="0"/>
                <w:lang w:val="en-US" w:eastAsia="zh-CN"/>
              </w:rPr>
              <w:t xml:space="preserve"> </w:t>
            </w:r>
            <w:r>
              <w:rPr>
                <w:rFonts w:hint="eastAsia" w:ascii="宋体" w:hAnsi="宋体"/>
                <w:color w:val="auto"/>
                <w:kern w:val="0"/>
              </w:rPr>
              <w:t>响应时间</w:t>
            </w:r>
            <w:r>
              <w:rPr>
                <w:rFonts w:hint="default"/>
                <w:color w:val="auto"/>
                <w:kern w:val="0"/>
              </w:rPr>
              <w:t>t90</w:t>
            </w:r>
            <w:r>
              <w:rPr>
                <w:rFonts w:hint="eastAsia" w:ascii="宋体" w:hAnsi="宋体"/>
                <w:color w:val="auto"/>
                <w:kern w:val="0"/>
              </w:rPr>
              <w:t>：</w:t>
            </w:r>
            <w:r>
              <w:rPr>
                <w:rFonts w:hint="default"/>
                <w:color w:val="auto"/>
                <w:kern w:val="0"/>
                <w:u w:val="single"/>
              </w:rPr>
              <w:t xml:space="preserve">     </w:t>
            </w:r>
            <w:r>
              <w:rPr>
                <w:rFonts w:hint="default"/>
                <w:color w:val="auto"/>
                <w:kern w:val="0"/>
              </w:rPr>
              <w:t>min</w:t>
            </w:r>
            <w:r>
              <w:rPr>
                <w:rFonts w:hint="eastAsia" w:ascii="宋体" w:hAnsi="宋体"/>
                <w:color w:val="auto"/>
                <w:kern w:val="0"/>
              </w:rPr>
              <w:t>（</w:t>
            </w:r>
            <w:r>
              <w:rPr>
                <w:rFonts w:hint="default"/>
                <w:color w:val="auto"/>
                <w:kern w:val="0"/>
              </w:rPr>
              <w:t>≤5 min</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7DAC7113">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57CB778A">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4A370EDF">
            <w:pPr>
              <w:adjustRightInd w:val="0"/>
              <w:snapToGrid w:val="0"/>
              <w:spacing w:before="0" w:beforeAutospacing="0" w:after="0" w:afterAutospacing="0"/>
              <w:ind w:left="0" w:right="0"/>
              <w:jc w:val="center"/>
              <w:rPr>
                <w:rFonts w:hint="default"/>
                <w:color w:val="auto"/>
                <w:szCs w:val="21"/>
              </w:rPr>
            </w:pPr>
          </w:p>
        </w:tc>
      </w:tr>
      <w:tr w14:paraId="500EE62C">
        <w:tblPrEx>
          <w:tblCellMar>
            <w:top w:w="0" w:type="dxa"/>
            <w:left w:w="108" w:type="dxa"/>
            <w:bottom w:w="0" w:type="dxa"/>
            <w:right w:w="108" w:type="dxa"/>
          </w:tblCellMar>
        </w:tblPrEx>
        <w:trPr>
          <w:trHeight w:val="240"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667B151">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0CC7A71C">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NO</w:t>
            </w:r>
            <w:r>
              <w:rPr>
                <w:rFonts w:hint="eastAsia" w:ascii="宋体" w:hAnsi="宋体"/>
                <w:color w:val="auto"/>
                <w:kern w:val="0"/>
              </w:rPr>
              <w:t>光电倍增管电压</w:t>
            </w:r>
            <w:r>
              <w:rPr>
                <w:rFonts w:hint="default"/>
                <w:color w:val="auto"/>
                <w:kern w:val="0"/>
              </w:rPr>
              <w:t xml:space="preserve">______,      </w:t>
            </w:r>
            <w:r>
              <w:rPr>
                <w:rFonts w:hint="eastAsia" w:ascii="宋体" w:hAnsi="宋体"/>
                <w:color w:val="auto"/>
                <w:kern w:val="0"/>
              </w:rPr>
              <w:t>斜率</w:t>
            </w:r>
            <w:r>
              <w:rPr>
                <w:rFonts w:hint="default"/>
                <w:color w:val="auto"/>
                <w:kern w:val="0"/>
              </w:rPr>
              <w:t xml:space="preserve">________,       </w:t>
            </w:r>
            <w:r>
              <w:rPr>
                <w:rFonts w:hint="eastAsia" w:ascii="宋体" w:hAnsi="宋体"/>
                <w:color w:val="auto"/>
                <w:kern w:val="0"/>
              </w:rPr>
              <w:t>截距</w:t>
            </w:r>
            <w:r>
              <w:rPr>
                <w:rFonts w:hint="default"/>
                <w:color w:val="auto"/>
                <w:kern w:val="0"/>
              </w:rPr>
              <w:t>_______</w:t>
            </w:r>
          </w:p>
        </w:tc>
        <w:tc>
          <w:tcPr>
            <w:tcW w:w="1060" w:type="dxa"/>
            <w:tcBorders>
              <w:top w:val="single" w:color="auto" w:sz="4" w:space="0"/>
              <w:left w:val="nil"/>
              <w:bottom w:val="single" w:color="auto" w:sz="4" w:space="0"/>
              <w:right w:val="single" w:color="auto" w:sz="4" w:space="0"/>
            </w:tcBorders>
            <w:noWrap w:val="0"/>
            <w:vAlign w:val="center"/>
          </w:tcPr>
          <w:p w14:paraId="3F788E31">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017202A0">
            <w:pPr>
              <w:snapToGrid w:val="0"/>
              <w:spacing w:before="0" w:beforeAutospacing="0" w:after="0" w:afterAutospacing="0"/>
              <w:ind w:left="0" w:right="0"/>
              <w:rPr>
                <w:rFonts w:hint="default"/>
                <w:color w:val="auto"/>
                <w:szCs w:val="21"/>
              </w:rPr>
            </w:pPr>
            <w:r>
              <w:rPr>
                <w:rFonts w:hint="eastAsia"/>
                <w:color w:val="auto"/>
              </w:rPr>
              <w:t>一项偏离正常值扣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4C07CFDD">
            <w:pPr>
              <w:adjustRightInd w:val="0"/>
              <w:snapToGrid w:val="0"/>
              <w:spacing w:before="0" w:beforeAutospacing="0" w:after="0" w:afterAutospacing="0"/>
              <w:ind w:left="0" w:right="0"/>
              <w:jc w:val="center"/>
              <w:rPr>
                <w:rFonts w:hint="default"/>
                <w:color w:val="auto"/>
                <w:szCs w:val="21"/>
              </w:rPr>
            </w:pPr>
          </w:p>
        </w:tc>
      </w:tr>
      <w:tr w14:paraId="36EE3A10">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47CB50F0">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3E85151A">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CO</w:t>
            </w:r>
            <w:r>
              <w:rPr>
                <w:rFonts w:hint="eastAsia" w:ascii="宋体" w:hAnsi="宋体"/>
                <w:color w:val="auto"/>
                <w:kern w:val="0"/>
              </w:rPr>
              <w:t>跨度测试：标气浓度</w:t>
            </w:r>
            <w:r>
              <w:rPr>
                <w:rFonts w:hint="default"/>
                <w:color w:val="auto"/>
                <w:kern w:val="0"/>
              </w:rPr>
              <w:t>_________,</w:t>
            </w:r>
            <w:r>
              <w:rPr>
                <w:rFonts w:hint="eastAsia" w:ascii="宋体" w:hAnsi="宋体"/>
                <w:color w:val="auto"/>
                <w:kern w:val="0"/>
              </w:rPr>
              <w:t>有效期</w:t>
            </w:r>
            <w:r>
              <w:rPr>
                <w:rFonts w:hint="default"/>
                <w:color w:val="auto"/>
                <w:kern w:val="0"/>
              </w:rPr>
              <w:t>____</w:t>
            </w:r>
            <w:r>
              <w:rPr>
                <w:rFonts w:hint="eastAsia"/>
                <w:color w:val="auto"/>
                <w:kern w:val="0"/>
                <w:u w:val="single"/>
                <w:lang w:val="en-US" w:eastAsia="zh-CN"/>
              </w:rPr>
              <w:t xml:space="preserve">  </w:t>
            </w:r>
            <w:r>
              <w:rPr>
                <w:rFonts w:hint="default"/>
                <w:color w:val="auto"/>
                <w:kern w:val="0"/>
                <w:u w:val="single"/>
              </w:rPr>
              <w:t>_</w:t>
            </w:r>
            <w:r>
              <w:rPr>
                <w:rFonts w:hint="default"/>
                <w:color w:val="auto"/>
                <w:kern w:val="0"/>
              </w:rPr>
              <w:t>___</w:t>
            </w:r>
            <w:r>
              <w:rPr>
                <w:rFonts w:hint="eastAsia" w:ascii="宋体" w:hAnsi="宋体"/>
                <w:color w:val="auto"/>
                <w:kern w:val="0"/>
              </w:rPr>
              <w:t>。输出：</w:t>
            </w:r>
            <w:r>
              <w:rPr>
                <w:rFonts w:hint="default"/>
                <w:color w:val="auto"/>
                <w:kern w:val="0"/>
                <w:u w:val="single"/>
              </w:rPr>
              <w:t xml:space="preserve">     </w:t>
            </w:r>
            <w:r>
              <w:rPr>
                <w:rFonts w:hint="default"/>
                <w:color w:val="auto"/>
                <w:kern w:val="0"/>
              </w:rPr>
              <w:t>ppm</w:t>
            </w:r>
            <w:r>
              <w:rPr>
                <w:rFonts w:hint="eastAsia" w:ascii="宋体" w:hAnsi="宋体"/>
                <w:color w:val="auto"/>
                <w:kern w:val="0"/>
              </w:rPr>
              <w:t>，仪器响应</w:t>
            </w:r>
            <w:r>
              <w:rPr>
                <w:rFonts w:hint="default"/>
                <w:color w:val="auto"/>
                <w:kern w:val="0"/>
                <w:u w:val="single"/>
              </w:rPr>
              <w:t xml:space="preserve">        </w:t>
            </w:r>
            <w:r>
              <w:rPr>
                <w:rFonts w:hint="default"/>
                <w:color w:val="auto"/>
                <w:kern w:val="0"/>
              </w:rPr>
              <w:t>ppm</w:t>
            </w:r>
            <w:r>
              <w:rPr>
                <w:rFonts w:hint="eastAsia" w:ascii="宋体" w:hAnsi="宋体"/>
                <w:color w:val="auto"/>
                <w:kern w:val="0"/>
              </w:rPr>
              <w:t>，浓度误差</w:t>
            </w:r>
            <w:r>
              <w:rPr>
                <w:rFonts w:hint="default"/>
                <w:color w:val="auto"/>
                <w:kern w:val="0"/>
              </w:rPr>
              <w:t>_____</w:t>
            </w:r>
            <w:r>
              <w:rPr>
                <w:rFonts w:hint="eastAsia" w:ascii="宋体" w:hAnsi="宋体"/>
                <w:color w:val="auto"/>
                <w:kern w:val="0"/>
              </w:rPr>
              <w:t>（</w:t>
            </w:r>
            <w:r>
              <w:rPr>
                <w:rFonts w:hint="default"/>
                <w:color w:val="auto"/>
                <w:kern w:val="0"/>
              </w:rPr>
              <w:t>≤±5%</w:t>
            </w:r>
            <w:r>
              <w:rPr>
                <w:rFonts w:hint="eastAsia" w:ascii="宋体" w:hAnsi="宋体"/>
                <w:color w:val="auto"/>
                <w:kern w:val="0"/>
              </w:rPr>
              <w:t>）响应时间</w:t>
            </w:r>
            <w:r>
              <w:rPr>
                <w:rFonts w:hint="default"/>
                <w:color w:val="auto"/>
                <w:kern w:val="0"/>
              </w:rPr>
              <w:t>t90</w:t>
            </w:r>
            <w:r>
              <w:rPr>
                <w:rFonts w:hint="eastAsia" w:ascii="宋体" w:hAnsi="宋体"/>
                <w:color w:val="auto"/>
                <w:kern w:val="0"/>
              </w:rPr>
              <w:t>：</w:t>
            </w:r>
            <w:r>
              <w:rPr>
                <w:rFonts w:hint="default"/>
                <w:color w:val="auto"/>
                <w:kern w:val="0"/>
                <w:u w:val="single"/>
              </w:rPr>
              <w:t xml:space="preserve">       </w:t>
            </w:r>
            <w:r>
              <w:rPr>
                <w:rFonts w:hint="default"/>
                <w:color w:val="auto"/>
                <w:kern w:val="0"/>
              </w:rPr>
              <w:t>min</w:t>
            </w:r>
            <w:r>
              <w:rPr>
                <w:rFonts w:hint="eastAsia" w:ascii="宋体" w:hAnsi="宋体"/>
                <w:color w:val="auto"/>
                <w:kern w:val="0"/>
              </w:rPr>
              <w:t>（</w:t>
            </w:r>
            <w:r>
              <w:rPr>
                <w:rFonts w:hint="default"/>
                <w:color w:val="auto"/>
                <w:kern w:val="0"/>
              </w:rPr>
              <w:t>≤5 min</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4B0B129F">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5EE4BB87">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32238FC4">
            <w:pPr>
              <w:adjustRightInd w:val="0"/>
              <w:snapToGrid w:val="0"/>
              <w:spacing w:before="0" w:beforeAutospacing="0" w:after="0" w:afterAutospacing="0"/>
              <w:ind w:left="0" w:right="0"/>
              <w:jc w:val="center"/>
              <w:rPr>
                <w:rFonts w:hint="default"/>
                <w:color w:val="auto"/>
                <w:szCs w:val="21"/>
              </w:rPr>
            </w:pPr>
          </w:p>
        </w:tc>
      </w:tr>
      <w:tr w14:paraId="407A62AA">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38C42BB3">
            <w:pPr>
              <w:widowControl/>
              <w:spacing w:before="0" w:beforeAutospacing="0" w:after="0" w:afterAutospacing="0"/>
              <w:ind w:left="0" w:right="0"/>
              <w:jc w:val="left"/>
              <w:rPr>
                <w:rFonts w:hint="default"/>
                <w:b/>
                <w:bCs/>
                <w:color w:val="auto"/>
                <w:szCs w:val="21"/>
              </w:rPr>
            </w:pPr>
          </w:p>
        </w:tc>
        <w:tc>
          <w:tcPr>
            <w:tcW w:w="5400" w:type="dxa"/>
            <w:tcBorders>
              <w:top w:val="single" w:color="auto" w:sz="4" w:space="0"/>
              <w:left w:val="nil"/>
              <w:bottom w:val="single" w:color="auto" w:sz="4" w:space="0"/>
              <w:right w:val="single" w:color="auto" w:sz="4" w:space="0"/>
            </w:tcBorders>
            <w:noWrap w:val="0"/>
            <w:vAlign w:val="center"/>
          </w:tcPr>
          <w:p w14:paraId="00E5C600">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O</w:t>
            </w:r>
            <w:r>
              <w:rPr>
                <w:rFonts w:hint="default"/>
                <w:color w:val="auto"/>
                <w:kern w:val="0"/>
                <w:vertAlign w:val="subscript"/>
              </w:rPr>
              <w:t>3</w:t>
            </w:r>
            <w:r>
              <w:rPr>
                <w:rFonts w:hint="eastAsia"/>
                <w:color w:val="auto"/>
                <w:kern w:val="0"/>
              </w:rPr>
              <w:t>跨度测试：输出：</w:t>
            </w:r>
            <w:r>
              <w:rPr>
                <w:rFonts w:hint="default"/>
                <w:color w:val="auto"/>
                <w:kern w:val="0"/>
                <w:u w:val="single"/>
              </w:rPr>
              <w:t xml:space="preserve">    </w:t>
            </w:r>
            <w:r>
              <w:rPr>
                <w:rFonts w:hint="default"/>
                <w:color w:val="auto"/>
                <w:kern w:val="0"/>
              </w:rPr>
              <w:t>ppb</w:t>
            </w:r>
            <w:r>
              <w:rPr>
                <w:rFonts w:hint="eastAsia" w:ascii="宋体" w:hAnsi="宋体"/>
                <w:color w:val="auto"/>
                <w:kern w:val="0"/>
              </w:rPr>
              <w:t xml:space="preserve">，仪器响应浓度 </w:t>
            </w:r>
            <w:r>
              <w:rPr>
                <w:rFonts w:hint="default"/>
                <w:color w:val="auto"/>
                <w:kern w:val="0"/>
                <w:u w:val="single"/>
              </w:rPr>
              <w:t xml:space="preserve">       </w:t>
            </w:r>
            <w:r>
              <w:rPr>
                <w:rFonts w:hint="default"/>
                <w:color w:val="auto"/>
                <w:kern w:val="0"/>
              </w:rPr>
              <w:t>ppb</w:t>
            </w:r>
            <w:r>
              <w:rPr>
                <w:rFonts w:hint="eastAsia" w:ascii="宋体" w:hAnsi="宋体"/>
                <w:color w:val="auto"/>
                <w:kern w:val="0"/>
              </w:rPr>
              <w:t>，浓度误差</w:t>
            </w:r>
            <w:r>
              <w:rPr>
                <w:rFonts w:hint="default"/>
                <w:color w:val="auto"/>
                <w:kern w:val="0"/>
                <w:u w:val="single"/>
              </w:rPr>
              <w:t xml:space="preserve">       </w:t>
            </w:r>
            <w:r>
              <w:rPr>
                <w:rFonts w:hint="eastAsia"/>
                <w:color w:val="auto"/>
                <w:kern w:val="0"/>
              </w:rPr>
              <w:t>（</w:t>
            </w:r>
            <w:r>
              <w:rPr>
                <w:rFonts w:hint="default"/>
                <w:color w:val="auto"/>
                <w:kern w:val="0"/>
              </w:rPr>
              <w:t>≤±5%</w:t>
            </w:r>
            <w:r>
              <w:rPr>
                <w:rFonts w:hint="eastAsia" w:ascii="宋体" w:hAnsi="宋体"/>
                <w:color w:val="auto"/>
                <w:kern w:val="0"/>
              </w:rPr>
              <w:t>）</w:t>
            </w:r>
          </w:p>
          <w:p w14:paraId="2253FDE6">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响应时间</w:t>
            </w:r>
            <w:r>
              <w:rPr>
                <w:rFonts w:hint="default"/>
                <w:color w:val="auto"/>
                <w:kern w:val="0"/>
              </w:rPr>
              <w:t>t90</w:t>
            </w:r>
            <w:r>
              <w:rPr>
                <w:rFonts w:hint="eastAsia" w:ascii="宋体" w:hAnsi="宋体"/>
                <w:color w:val="auto"/>
                <w:kern w:val="0"/>
              </w:rPr>
              <w:t>：</w:t>
            </w:r>
            <w:r>
              <w:rPr>
                <w:rFonts w:hint="default"/>
                <w:color w:val="auto"/>
                <w:kern w:val="0"/>
                <w:u w:val="single"/>
              </w:rPr>
              <w:t xml:space="preserve">         </w:t>
            </w:r>
            <w:r>
              <w:rPr>
                <w:rFonts w:hint="default"/>
                <w:color w:val="auto"/>
                <w:kern w:val="0"/>
              </w:rPr>
              <w:t>min</w:t>
            </w:r>
            <w:r>
              <w:rPr>
                <w:rFonts w:hint="eastAsia" w:ascii="宋体" w:hAnsi="宋体"/>
                <w:color w:val="auto"/>
                <w:kern w:val="0"/>
              </w:rPr>
              <w:t>（</w:t>
            </w:r>
            <w:r>
              <w:rPr>
                <w:rFonts w:hint="default"/>
                <w:color w:val="auto"/>
                <w:kern w:val="0"/>
              </w:rPr>
              <w:t>≤5 min</w:t>
            </w:r>
            <w:r>
              <w:rPr>
                <w:rFonts w:hint="eastAsia" w:ascii="宋体" w:hAnsi="宋体"/>
                <w:color w:val="auto"/>
                <w:kern w:val="0"/>
              </w:rPr>
              <w:t>）</w:t>
            </w:r>
          </w:p>
        </w:tc>
        <w:tc>
          <w:tcPr>
            <w:tcW w:w="1060" w:type="dxa"/>
            <w:tcBorders>
              <w:top w:val="single" w:color="auto" w:sz="4" w:space="0"/>
              <w:left w:val="nil"/>
              <w:bottom w:val="single" w:color="auto" w:sz="4" w:space="0"/>
              <w:right w:val="single" w:color="auto" w:sz="4" w:space="0"/>
            </w:tcBorders>
            <w:noWrap w:val="0"/>
            <w:vAlign w:val="center"/>
          </w:tcPr>
          <w:p w14:paraId="2B93E6CB">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08C8C1D3">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156F19F2">
            <w:pPr>
              <w:adjustRightInd w:val="0"/>
              <w:snapToGrid w:val="0"/>
              <w:spacing w:before="0" w:beforeAutospacing="0" w:after="0" w:afterAutospacing="0"/>
              <w:ind w:left="0" w:right="0"/>
              <w:jc w:val="center"/>
              <w:rPr>
                <w:rFonts w:hint="default"/>
                <w:color w:val="auto"/>
                <w:szCs w:val="21"/>
              </w:rPr>
            </w:pPr>
          </w:p>
        </w:tc>
      </w:tr>
      <w:tr w14:paraId="59D89F75">
        <w:tblPrEx>
          <w:tblCellMar>
            <w:top w:w="0" w:type="dxa"/>
            <w:left w:w="108" w:type="dxa"/>
            <w:bottom w:w="0" w:type="dxa"/>
            <w:right w:w="108" w:type="dxa"/>
          </w:tblCellMar>
        </w:tblPrEx>
        <w:trPr>
          <w:trHeight w:val="266" w:hRule="atLeast"/>
          <w:jc w:val="center"/>
        </w:trPr>
        <w:tc>
          <w:tcPr>
            <w:tcW w:w="1080" w:type="dxa"/>
            <w:vMerge w:val="restart"/>
            <w:tcBorders>
              <w:top w:val="nil"/>
              <w:left w:val="single" w:color="auto" w:sz="4" w:space="0"/>
              <w:bottom w:val="single" w:color="auto" w:sz="4" w:space="0"/>
              <w:right w:val="single" w:color="auto" w:sz="4" w:space="0"/>
            </w:tcBorders>
            <w:noWrap w:val="0"/>
            <w:vAlign w:val="center"/>
          </w:tcPr>
          <w:p w14:paraId="625ADE59">
            <w:pPr>
              <w:adjustRightInd w:val="0"/>
              <w:snapToGrid w:val="0"/>
              <w:spacing w:before="0" w:beforeAutospacing="0" w:after="0" w:afterAutospacing="0"/>
              <w:ind w:left="0" w:right="0"/>
              <w:jc w:val="left"/>
              <w:rPr>
                <w:rFonts w:hint="default"/>
                <w:b/>
                <w:bCs/>
                <w:color w:val="auto"/>
                <w:kern w:val="0"/>
                <w:szCs w:val="21"/>
              </w:rPr>
            </w:pPr>
            <w:r>
              <w:rPr>
                <w:rFonts w:hint="default"/>
                <w:b/>
                <w:bCs/>
                <w:color w:val="auto"/>
                <w:kern w:val="0"/>
              </w:rPr>
              <w:t>3.</w:t>
            </w:r>
            <w:r>
              <w:rPr>
                <w:rFonts w:hint="eastAsia" w:ascii="宋体" w:hAnsi="宋体"/>
                <w:b/>
                <w:bCs/>
                <w:color w:val="auto"/>
                <w:kern w:val="0"/>
              </w:rPr>
              <w:t>记录及监测档案的完整性</w:t>
            </w:r>
          </w:p>
          <w:p w14:paraId="527A5514">
            <w:pPr>
              <w:adjustRightInd w:val="0"/>
              <w:snapToGrid w:val="0"/>
              <w:spacing w:before="0" w:beforeAutospacing="0" w:after="0" w:afterAutospacing="0"/>
              <w:ind w:left="0" w:right="0"/>
              <w:jc w:val="left"/>
              <w:rPr>
                <w:rFonts w:hint="default"/>
                <w:b/>
                <w:bCs/>
                <w:color w:val="auto"/>
                <w:kern w:val="0"/>
                <w:szCs w:val="21"/>
              </w:rPr>
            </w:pPr>
            <w:r>
              <w:rPr>
                <w:rFonts w:hint="eastAsia"/>
                <w:b/>
                <w:bCs/>
                <w:color w:val="auto"/>
                <w:kern w:val="0"/>
              </w:rPr>
              <w:t>（</w:t>
            </w:r>
            <w:r>
              <w:rPr>
                <w:rFonts w:hint="eastAsia"/>
                <w:b/>
                <w:bCs/>
                <w:color w:val="auto"/>
                <w:kern w:val="0"/>
                <w:lang w:val="en-US" w:eastAsia="zh-CN"/>
              </w:rPr>
              <w:t>11.5</w:t>
            </w:r>
            <w:r>
              <w:rPr>
                <w:rFonts w:hint="eastAsia" w:ascii="宋体" w:hAnsi="宋体"/>
                <w:b/>
                <w:bCs/>
                <w:color w:val="auto"/>
                <w:kern w:val="0"/>
              </w:rPr>
              <w:t>分）</w:t>
            </w:r>
          </w:p>
        </w:tc>
        <w:tc>
          <w:tcPr>
            <w:tcW w:w="5400" w:type="dxa"/>
            <w:tcBorders>
              <w:top w:val="single" w:color="auto" w:sz="4" w:space="0"/>
              <w:left w:val="nil"/>
              <w:bottom w:val="single" w:color="auto" w:sz="4" w:space="0"/>
              <w:right w:val="single" w:color="auto" w:sz="4" w:space="0"/>
            </w:tcBorders>
            <w:noWrap w:val="0"/>
            <w:vAlign w:val="center"/>
          </w:tcPr>
          <w:p w14:paraId="3D40CB19">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按规定对设备巡检维护，填写巡检记录</w:t>
            </w:r>
          </w:p>
        </w:tc>
        <w:tc>
          <w:tcPr>
            <w:tcW w:w="1060" w:type="dxa"/>
            <w:tcBorders>
              <w:top w:val="single" w:color="auto" w:sz="4" w:space="0"/>
              <w:left w:val="nil"/>
              <w:bottom w:val="single" w:color="auto" w:sz="4" w:space="0"/>
              <w:right w:val="single" w:color="auto" w:sz="4" w:space="0"/>
            </w:tcBorders>
            <w:noWrap w:val="0"/>
            <w:vAlign w:val="center"/>
          </w:tcPr>
          <w:p w14:paraId="24A3404A">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76D8220A">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5E53CEA9">
            <w:pPr>
              <w:adjustRightInd w:val="0"/>
              <w:snapToGrid w:val="0"/>
              <w:spacing w:before="0" w:beforeAutospacing="0" w:after="0" w:afterAutospacing="0"/>
              <w:ind w:left="0" w:right="0"/>
              <w:jc w:val="center"/>
              <w:rPr>
                <w:rFonts w:hint="default"/>
                <w:color w:val="auto"/>
                <w:kern w:val="0"/>
                <w:szCs w:val="21"/>
              </w:rPr>
            </w:pPr>
          </w:p>
        </w:tc>
      </w:tr>
      <w:tr w14:paraId="6CFA2B99">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3E07D116">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2E5C31D7">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用于校准的设备（流量计、温度计、大气压计）是否每年通过计量检定</w:t>
            </w:r>
            <w:r>
              <w:rPr>
                <w:rFonts w:hint="default"/>
                <w:color w:val="auto"/>
                <w:kern w:val="0"/>
              </w:rPr>
              <w:t xml:space="preserve"> </w:t>
            </w:r>
          </w:p>
        </w:tc>
        <w:tc>
          <w:tcPr>
            <w:tcW w:w="1060" w:type="dxa"/>
            <w:tcBorders>
              <w:top w:val="single" w:color="auto" w:sz="4" w:space="0"/>
              <w:left w:val="nil"/>
              <w:bottom w:val="single" w:color="auto" w:sz="4" w:space="0"/>
              <w:right w:val="single" w:color="auto" w:sz="4" w:space="0"/>
            </w:tcBorders>
            <w:noWrap w:val="0"/>
            <w:vAlign w:val="center"/>
          </w:tcPr>
          <w:p w14:paraId="2130E76D">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1.5</w:t>
            </w:r>
          </w:p>
        </w:tc>
        <w:tc>
          <w:tcPr>
            <w:tcW w:w="1525" w:type="dxa"/>
            <w:tcBorders>
              <w:top w:val="single" w:color="auto" w:sz="4" w:space="0"/>
              <w:left w:val="nil"/>
              <w:bottom w:val="single" w:color="auto" w:sz="4" w:space="0"/>
              <w:right w:val="single" w:color="auto" w:sz="4" w:space="0"/>
            </w:tcBorders>
            <w:noWrap w:val="0"/>
            <w:vAlign w:val="center"/>
          </w:tcPr>
          <w:p w14:paraId="22DD160B">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1.5</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62127EE1">
            <w:pPr>
              <w:adjustRightInd w:val="0"/>
              <w:snapToGrid w:val="0"/>
              <w:spacing w:before="0" w:beforeAutospacing="0" w:after="0" w:afterAutospacing="0"/>
              <w:ind w:left="0" w:right="0"/>
              <w:jc w:val="center"/>
              <w:rPr>
                <w:rFonts w:hint="default"/>
                <w:color w:val="auto"/>
                <w:kern w:val="0"/>
                <w:szCs w:val="21"/>
              </w:rPr>
            </w:pPr>
          </w:p>
        </w:tc>
      </w:tr>
      <w:tr w14:paraId="5210A09F">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9936718">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46EDC00B">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气态监测项目质控校准记录（包括零跨、精度、多点校准）零跨</w:t>
            </w:r>
            <w:r>
              <w:rPr>
                <w:rFonts w:hint="default"/>
                <w:color w:val="auto"/>
                <w:kern w:val="0"/>
              </w:rPr>
              <w:t>1</w:t>
            </w:r>
            <w:r>
              <w:rPr>
                <w:rFonts w:hint="eastAsia" w:ascii="宋体" w:hAnsi="宋体"/>
                <w:color w:val="auto"/>
                <w:kern w:val="0"/>
              </w:rPr>
              <w:t>次</w:t>
            </w:r>
            <w:r>
              <w:rPr>
                <w:rFonts w:hint="default"/>
                <w:color w:val="auto"/>
                <w:kern w:val="0"/>
              </w:rPr>
              <w:t>/5-7</w:t>
            </w:r>
            <w:r>
              <w:rPr>
                <w:rFonts w:hint="eastAsia" w:ascii="宋体" w:hAnsi="宋体"/>
                <w:color w:val="auto"/>
                <w:kern w:val="0"/>
              </w:rPr>
              <w:t>天，精度</w:t>
            </w:r>
            <w:r>
              <w:rPr>
                <w:rFonts w:hint="default"/>
                <w:color w:val="auto"/>
                <w:kern w:val="0"/>
              </w:rPr>
              <w:t>1</w:t>
            </w:r>
            <w:r>
              <w:rPr>
                <w:rFonts w:hint="eastAsia" w:ascii="宋体" w:hAnsi="宋体"/>
                <w:color w:val="auto"/>
                <w:kern w:val="0"/>
              </w:rPr>
              <w:t>次</w:t>
            </w:r>
            <w:r>
              <w:rPr>
                <w:rFonts w:hint="default"/>
                <w:color w:val="auto"/>
                <w:kern w:val="0"/>
              </w:rPr>
              <w:t>/</w:t>
            </w:r>
            <w:r>
              <w:rPr>
                <w:rFonts w:hint="eastAsia" w:ascii="宋体" w:hAnsi="宋体"/>
                <w:color w:val="auto"/>
                <w:kern w:val="0"/>
              </w:rPr>
              <w:t>季度，多点</w:t>
            </w:r>
            <w:r>
              <w:rPr>
                <w:rFonts w:hint="default"/>
                <w:color w:val="auto"/>
                <w:kern w:val="0"/>
              </w:rPr>
              <w:t>1</w:t>
            </w:r>
            <w:r>
              <w:rPr>
                <w:rFonts w:hint="eastAsia" w:ascii="宋体" w:hAnsi="宋体"/>
                <w:color w:val="auto"/>
                <w:kern w:val="0"/>
              </w:rPr>
              <w:t>次</w:t>
            </w:r>
            <w:r>
              <w:rPr>
                <w:rFonts w:hint="default"/>
                <w:color w:val="auto"/>
                <w:kern w:val="0"/>
              </w:rPr>
              <w:t>/</w:t>
            </w:r>
            <w:r>
              <w:rPr>
                <w:rFonts w:hint="eastAsia" w:ascii="宋体" w:hAnsi="宋体"/>
                <w:color w:val="auto"/>
                <w:kern w:val="0"/>
              </w:rPr>
              <w:t>半年；</w:t>
            </w:r>
          </w:p>
        </w:tc>
        <w:tc>
          <w:tcPr>
            <w:tcW w:w="1060" w:type="dxa"/>
            <w:tcBorders>
              <w:top w:val="single" w:color="auto" w:sz="4" w:space="0"/>
              <w:left w:val="nil"/>
              <w:bottom w:val="single" w:color="auto" w:sz="4" w:space="0"/>
              <w:right w:val="single" w:color="auto" w:sz="4" w:space="0"/>
            </w:tcBorders>
            <w:noWrap w:val="0"/>
            <w:vAlign w:val="center"/>
          </w:tcPr>
          <w:p w14:paraId="7FCF0B7D">
            <w:pPr>
              <w:adjustRightInd w:val="0"/>
              <w:snapToGrid w:val="0"/>
              <w:spacing w:before="0" w:beforeAutospacing="0" w:after="0" w:afterAutospacing="0"/>
              <w:ind w:left="0" w:right="0"/>
              <w:jc w:val="center"/>
              <w:rPr>
                <w:rFonts w:hint="eastAsia" w:eastAsia="宋体"/>
                <w:color w:val="auto"/>
                <w:kern w:val="0"/>
                <w:szCs w:val="21"/>
                <w:lang w:eastAsia="zh-CN"/>
              </w:rPr>
            </w:pPr>
            <w:r>
              <w:rPr>
                <w:rFonts w:hint="eastAsia"/>
                <w:color w:val="auto"/>
                <w:kern w:val="0"/>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7D76A19F">
            <w:pPr>
              <w:snapToGrid w:val="0"/>
              <w:spacing w:before="0" w:beforeAutospacing="0" w:after="0" w:afterAutospacing="0"/>
              <w:ind w:left="0" w:right="0"/>
              <w:rPr>
                <w:rFonts w:hint="default"/>
                <w:color w:val="auto"/>
                <w:szCs w:val="21"/>
              </w:rPr>
            </w:pPr>
            <w:r>
              <w:rPr>
                <w:rFonts w:hint="eastAsia"/>
                <w:color w:val="auto"/>
              </w:rPr>
              <w:t>缺一项扣</w:t>
            </w:r>
            <w:r>
              <w:rPr>
                <w:rFonts w:hint="eastAsia"/>
                <w:color w:val="auto"/>
                <w:lang w:val="en-US" w:eastAsia="zh-CN"/>
              </w:rPr>
              <w:t>2</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1DD2AA97">
            <w:pPr>
              <w:adjustRightInd w:val="0"/>
              <w:snapToGrid w:val="0"/>
              <w:spacing w:before="0" w:beforeAutospacing="0" w:after="0" w:afterAutospacing="0"/>
              <w:ind w:left="0" w:right="0"/>
              <w:jc w:val="center"/>
              <w:rPr>
                <w:rFonts w:hint="default"/>
                <w:color w:val="auto"/>
                <w:kern w:val="0"/>
                <w:szCs w:val="21"/>
              </w:rPr>
            </w:pPr>
          </w:p>
        </w:tc>
      </w:tr>
      <w:tr w14:paraId="02A322D9">
        <w:tblPrEx>
          <w:tblCellMar>
            <w:top w:w="0" w:type="dxa"/>
            <w:left w:w="108" w:type="dxa"/>
            <w:bottom w:w="0" w:type="dxa"/>
            <w:right w:w="108" w:type="dxa"/>
          </w:tblCellMar>
        </w:tblPrEx>
        <w:trPr>
          <w:trHeight w:val="292"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06EC1B59">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293C8B3F">
            <w:pPr>
              <w:adjustRightInd w:val="0"/>
              <w:snapToGrid w:val="0"/>
              <w:spacing w:before="0" w:beforeAutospacing="0" w:after="0" w:afterAutospacing="0"/>
              <w:ind w:left="0" w:right="0"/>
              <w:jc w:val="left"/>
              <w:rPr>
                <w:rFonts w:hint="default"/>
                <w:color w:val="auto"/>
                <w:szCs w:val="21"/>
              </w:rPr>
            </w:pPr>
            <w:r>
              <w:rPr>
                <w:rFonts w:hint="eastAsia"/>
                <w:color w:val="auto"/>
              </w:rPr>
              <w:t>现场臭氧工作标准是否每年一次经过量值溯源，并提供传递报告</w:t>
            </w:r>
          </w:p>
        </w:tc>
        <w:tc>
          <w:tcPr>
            <w:tcW w:w="1060" w:type="dxa"/>
            <w:tcBorders>
              <w:top w:val="single" w:color="auto" w:sz="4" w:space="0"/>
              <w:left w:val="nil"/>
              <w:bottom w:val="single" w:color="auto" w:sz="4" w:space="0"/>
              <w:right w:val="single" w:color="auto" w:sz="4" w:space="0"/>
            </w:tcBorders>
            <w:noWrap w:val="0"/>
            <w:vAlign w:val="center"/>
          </w:tcPr>
          <w:p w14:paraId="7C008A65">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141B7ACB">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01FDA419">
            <w:pPr>
              <w:adjustRightInd w:val="0"/>
              <w:snapToGrid w:val="0"/>
              <w:spacing w:before="0" w:beforeAutospacing="0" w:after="0" w:afterAutospacing="0"/>
              <w:ind w:left="0" w:right="0"/>
              <w:jc w:val="center"/>
              <w:rPr>
                <w:rFonts w:hint="default"/>
                <w:color w:val="auto"/>
                <w:kern w:val="0"/>
                <w:szCs w:val="21"/>
              </w:rPr>
            </w:pPr>
          </w:p>
        </w:tc>
      </w:tr>
      <w:tr w14:paraId="7D15E94C">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4CB8432A">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35B01600">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颗粒物质控校准记录（包括流量、质量传感器</w:t>
            </w:r>
            <w:r>
              <w:rPr>
                <w:rFonts w:hint="default"/>
                <w:color w:val="auto"/>
                <w:kern w:val="0"/>
              </w:rPr>
              <w:t>/</w:t>
            </w:r>
            <w:r>
              <w:rPr>
                <w:rFonts w:hint="eastAsia" w:ascii="宋体" w:hAnsi="宋体"/>
                <w:color w:val="auto"/>
                <w:kern w:val="0"/>
              </w:rPr>
              <w:t>标准膜、温度和压力校准）流量</w:t>
            </w:r>
            <w:r>
              <w:rPr>
                <w:rFonts w:hint="default"/>
                <w:color w:val="auto"/>
                <w:kern w:val="0"/>
              </w:rPr>
              <w:t>1</w:t>
            </w:r>
            <w:r>
              <w:rPr>
                <w:rFonts w:hint="eastAsia" w:ascii="宋体" w:hAnsi="宋体"/>
                <w:color w:val="auto"/>
                <w:kern w:val="0"/>
              </w:rPr>
              <w:t>次</w:t>
            </w:r>
            <w:r>
              <w:rPr>
                <w:rFonts w:hint="default"/>
                <w:color w:val="auto"/>
                <w:kern w:val="0"/>
              </w:rPr>
              <w:t>/</w:t>
            </w:r>
            <w:r>
              <w:rPr>
                <w:rFonts w:hint="eastAsia" w:ascii="宋体" w:hAnsi="宋体"/>
                <w:color w:val="auto"/>
                <w:kern w:val="0"/>
              </w:rPr>
              <w:t>月，其他</w:t>
            </w:r>
            <w:r>
              <w:rPr>
                <w:rFonts w:hint="default"/>
                <w:color w:val="auto"/>
                <w:kern w:val="0"/>
              </w:rPr>
              <w:t>1</w:t>
            </w:r>
            <w:r>
              <w:rPr>
                <w:rFonts w:hint="eastAsia" w:ascii="宋体" w:hAnsi="宋体"/>
                <w:color w:val="auto"/>
                <w:kern w:val="0"/>
              </w:rPr>
              <w:t>次</w:t>
            </w:r>
            <w:r>
              <w:rPr>
                <w:rFonts w:hint="default"/>
                <w:color w:val="auto"/>
                <w:kern w:val="0"/>
              </w:rPr>
              <w:t>/</w:t>
            </w:r>
            <w:r>
              <w:rPr>
                <w:rFonts w:hint="eastAsia" w:ascii="宋体" w:hAnsi="宋体"/>
                <w:color w:val="auto"/>
                <w:kern w:val="0"/>
              </w:rPr>
              <w:t>年</w:t>
            </w:r>
          </w:p>
        </w:tc>
        <w:tc>
          <w:tcPr>
            <w:tcW w:w="1060" w:type="dxa"/>
            <w:tcBorders>
              <w:top w:val="single" w:color="auto" w:sz="4" w:space="0"/>
              <w:left w:val="nil"/>
              <w:bottom w:val="single" w:color="auto" w:sz="4" w:space="0"/>
              <w:right w:val="single" w:color="auto" w:sz="4" w:space="0"/>
            </w:tcBorders>
            <w:noWrap w:val="0"/>
            <w:vAlign w:val="center"/>
          </w:tcPr>
          <w:p w14:paraId="3A1FEF72">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63905DAC">
            <w:pPr>
              <w:snapToGrid w:val="0"/>
              <w:spacing w:before="0" w:beforeAutospacing="0" w:after="0" w:afterAutospacing="0"/>
              <w:ind w:left="0" w:right="0"/>
              <w:rPr>
                <w:rFonts w:hint="default"/>
                <w:color w:val="auto"/>
                <w:szCs w:val="21"/>
              </w:rPr>
            </w:pPr>
            <w:r>
              <w:rPr>
                <w:rFonts w:hint="eastAsia"/>
                <w:color w:val="auto"/>
              </w:rPr>
              <w:t>缺一项扣</w:t>
            </w:r>
            <w:r>
              <w:rPr>
                <w:rFonts w:hint="eastAsia"/>
                <w:color w:val="auto"/>
                <w:lang w:val="en-US" w:eastAsia="zh-CN"/>
              </w:rPr>
              <w:t>1</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463665A7">
            <w:pPr>
              <w:adjustRightInd w:val="0"/>
              <w:snapToGrid w:val="0"/>
              <w:spacing w:before="0" w:beforeAutospacing="0" w:after="0" w:afterAutospacing="0"/>
              <w:ind w:left="0" w:right="0"/>
              <w:jc w:val="center"/>
              <w:rPr>
                <w:rFonts w:hint="default"/>
                <w:color w:val="auto"/>
                <w:kern w:val="0"/>
                <w:szCs w:val="21"/>
              </w:rPr>
            </w:pPr>
          </w:p>
        </w:tc>
      </w:tr>
      <w:tr w14:paraId="7F590C95">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BBF0EBD">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0674E289">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采样总管清洁记录、颗粒物切割头清洁、采样管清洁记录、设备维修记录、耗品耗材更换记录</w:t>
            </w:r>
          </w:p>
        </w:tc>
        <w:tc>
          <w:tcPr>
            <w:tcW w:w="1060" w:type="dxa"/>
            <w:tcBorders>
              <w:top w:val="single" w:color="auto" w:sz="4" w:space="0"/>
              <w:left w:val="nil"/>
              <w:bottom w:val="single" w:color="auto" w:sz="4" w:space="0"/>
              <w:right w:val="single" w:color="auto" w:sz="4" w:space="0"/>
            </w:tcBorders>
            <w:noWrap w:val="0"/>
            <w:vAlign w:val="center"/>
          </w:tcPr>
          <w:p w14:paraId="42990CBD">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592A5F60">
            <w:pPr>
              <w:snapToGrid w:val="0"/>
              <w:spacing w:before="0" w:beforeAutospacing="0" w:after="0" w:afterAutospacing="0"/>
              <w:ind w:left="0" w:right="0"/>
              <w:rPr>
                <w:rFonts w:hint="default"/>
                <w:color w:val="auto"/>
                <w:szCs w:val="21"/>
              </w:rPr>
            </w:pPr>
            <w:r>
              <w:rPr>
                <w:rFonts w:hint="eastAsia"/>
                <w:color w:val="auto"/>
              </w:rPr>
              <w:t>缺一项扣</w:t>
            </w:r>
            <w:r>
              <w:rPr>
                <w:rFonts w:hint="eastAsia"/>
                <w:color w:val="auto"/>
                <w:lang w:val="en-US" w:eastAsia="zh-CN"/>
              </w:rPr>
              <w:t>1</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52B5A24B">
            <w:pPr>
              <w:adjustRightInd w:val="0"/>
              <w:snapToGrid w:val="0"/>
              <w:spacing w:before="0" w:beforeAutospacing="0" w:after="0" w:afterAutospacing="0"/>
              <w:ind w:left="0" w:right="0"/>
              <w:jc w:val="center"/>
              <w:rPr>
                <w:rFonts w:hint="default"/>
                <w:color w:val="auto"/>
                <w:kern w:val="0"/>
                <w:szCs w:val="21"/>
              </w:rPr>
            </w:pPr>
          </w:p>
        </w:tc>
      </w:tr>
      <w:tr w14:paraId="2A8C092A">
        <w:tblPrEx>
          <w:tblCellMar>
            <w:top w:w="0" w:type="dxa"/>
            <w:left w:w="108" w:type="dxa"/>
            <w:bottom w:w="0" w:type="dxa"/>
            <w:right w:w="108" w:type="dxa"/>
          </w:tblCellMar>
        </w:tblPrEx>
        <w:trPr>
          <w:trHeight w:val="176"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79E4A5EB">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0D3C9554">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能见度校准记录</w:t>
            </w:r>
            <w:r>
              <w:rPr>
                <w:rFonts w:hint="default"/>
                <w:color w:val="auto"/>
                <w:kern w:val="0"/>
              </w:rPr>
              <w:t>1</w:t>
            </w:r>
            <w:r>
              <w:rPr>
                <w:rFonts w:hint="eastAsia" w:ascii="宋体" w:hAnsi="宋体"/>
                <w:color w:val="auto"/>
                <w:kern w:val="0"/>
              </w:rPr>
              <w:t>次</w:t>
            </w:r>
            <w:r>
              <w:rPr>
                <w:rFonts w:hint="default"/>
                <w:color w:val="auto"/>
                <w:kern w:val="0"/>
              </w:rPr>
              <w:t>/</w:t>
            </w:r>
            <w:r>
              <w:rPr>
                <w:rFonts w:hint="eastAsia" w:ascii="宋体" w:hAnsi="宋体"/>
                <w:color w:val="auto"/>
                <w:kern w:val="0"/>
              </w:rPr>
              <w:t>月</w:t>
            </w:r>
          </w:p>
        </w:tc>
        <w:tc>
          <w:tcPr>
            <w:tcW w:w="1060" w:type="dxa"/>
            <w:tcBorders>
              <w:top w:val="single" w:color="auto" w:sz="4" w:space="0"/>
              <w:left w:val="nil"/>
              <w:bottom w:val="single" w:color="auto" w:sz="4" w:space="0"/>
              <w:right w:val="single" w:color="auto" w:sz="4" w:space="0"/>
            </w:tcBorders>
            <w:noWrap w:val="0"/>
            <w:vAlign w:val="center"/>
          </w:tcPr>
          <w:p w14:paraId="63A5F3B5">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686CC01F">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3BF9B095">
            <w:pPr>
              <w:adjustRightInd w:val="0"/>
              <w:snapToGrid w:val="0"/>
              <w:spacing w:before="0" w:beforeAutospacing="0" w:after="0" w:afterAutospacing="0"/>
              <w:ind w:left="0" w:right="0"/>
              <w:jc w:val="center"/>
              <w:rPr>
                <w:rFonts w:hint="default"/>
                <w:color w:val="auto"/>
                <w:kern w:val="0"/>
                <w:szCs w:val="21"/>
              </w:rPr>
            </w:pPr>
          </w:p>
        </w:tc>
      </w:tr>
      <w:tr w14:paraId="600B42AA">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12D68BBD">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7764A056">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上述各项记录与工控机中数据是否一致</w:t>
            </w:r>
          </w:p>
        </w:tc>
        <w:tc>
          <w:tcPr>
            <w:tcW w:w="1060" w:type="dxa"/>
            <w:tcBorders>
              <w:top w:val="single" w:color="auto" w:sz="4" w:space="0"/>
              <w:left w:val="nil"/>
              <w:bottom w:val="single" w:color="auto" w:sz="4" w:space="0"/>
              <w:right w:val="single" w:color="auto" w:sz="4" w:space="0"/>
            </w:tcBorders>
            <w:noWrap w:val="0"/>
            <w:vAlign w:val="center"/>
          </w:tcPr>
          <w:p w14:paraId="19B47FD9">
            <w:pPr>
              <w:adjustRightInd w:val="0"/>
              <w:snapToGrid w:val="0"/>
              <w:spacing w:before="0" w:beforeAutospacing="0" w:after="0" w:afterAutospacing="0"/>
              <w:ind w:left="0" w:right="0"/>
              <w:jc w:val="center"/>
              <w:rPr>
                <w:rFonts w:hint="eastAsia" w:eastAsia="宋体"/>
                <w:color w:val="auto"/>
                <w:kern w:val="0"/>
                <w:szCs w:val="21"/>
                <w:lang w:eastAsia="zh-CN"/>
              </w:rPr>
            </w:pPr>
            <w:r>
              <w:rPr>
                <w:rFonts w:hint="eastAsia"/>
                <w:color w:val="auto"/>
                <w:kern w:val="0"/>
                <w:lang w:val="en-US" w:eastAsia="zh-CN"/>
              </w:rPr>
              <w:t>2</w:t>
            </w:r>
          </w:p>
        </w:tc>
        <w:tc>
          <w:tcPr>
            <w:tcW w:w="1525" w:type="dxa"/>
            <w:tcBorders>
              <w:top w:val="single" w:color="auto" w:sz="4" w:space="0"/>
              <w:left w:val="nil"/>
              <w:bottom w:val="single" w:color="auto" w:sz="4" w:space="0"/>
              <w:right w:val="single" w:color="auto" w:sz="4" w:space="0"/>
            </w:tcBorders>
            <w:noWrap w:val="0"/>
            <w:vAlign w:val="center"/>
          </w:tcPr>
          <w:p w14:paraId="0ED21816">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5175048C">
            <w:pPr>
              <w:adjustRightInd w:val="0"/>
              <w:snapToGrid w:val="0"/>
              <w:spacing w:before="0" w:beforeAutospacing="0" w:after="0" w:afterAutospacing="0"/>
              <w:ind w:left="0" w:right="0"/>
              <w:jc w:val="center"/>
              <w:rPr>
                <w:rFonts w:hint="default"/>
                <w:color w:val="auto"/>
                <w:kern w:val="0"/>
                <w:szCs w:val="21"/>
              </w:rPr>
            </w:pPr>
          </w:p>
        </w:tc>
      </w:tr>
      <w:tr w14:paraId="4CD108A6">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1383D34A">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465EDD9F">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 xml:space="preserve"> </w:t>
            </w:r>
            <w:r>
              <w:rPr>
                <w:rFonts w:hint="eastAsia"/>
                <w:color w:val="auto"/>
                <w:kern w:val="0"/>
              </w:rPr>
              <w:t>监测设备档案（包括设备使用说明、操作手册、维修记录、使用情况、年度自检报告等）</w:t>
            </w:r>
          </w:p>
        </w:tc>
        <w:tc>
          <w:tcPr>
            <w:tcW w:w="1060" w:type="dxa"/>
            <w:tcBorders>
              <w:top w:val="single" w:color="auto" w:sz="4" w:space="0"/>
              <w:left w:val="nil"/>
              <w:bottom w:val="single" w:color="auto" w:sz="4" w:space="0"/>
              <w:right w:val="single" w:color="auto" w:sz="4" w:space="0"/>
            </w:tcBorders>
            <w:noWrap w:val="0"/>
            <w:vAlign w:val="center"/>
          </w:tcPr>
          <w:p w14:paraId="39F95C8E">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67FF9ECA">
            <w:pPr>
              <w:snapToGrid w:val="0"/>
              <w:spacing w:before="0" w:beforeAutospacing="0" w:after="0" w:afterAutospacing="0"/>
              <w:ind w:left="0" w:right="0"/>
              <w:rPr>
                <w:rFonts w:hint="default"/>
                <w:color w:val="auto"/>
                <w:szCs w:val="21"/>
              </w:rPr>
            </w:pPr>
            <w:r>
              <w:rPr>
                <w:rFonts w:hint="eastAsia"/>
                <w:color w:val="auto"/>
              </w:rPr>
              <w:t>缺一项扣</w:t>
            </w:r>
            <w:r>
              <w:rPr>
                <w:rFonts w:hint="eastAsia"/>
                <w:color w:val="auto"/>
                <w:lang w:val="en-US" w:eastAsia="zh-CN"/>
              </w:rPr>
              <w:t>1</w:t>
            </w:r>
            <w:r>
              <w:rPr>
                <w:rFonts w:hint="eastAsia" w:ascii="宋体" w:hAnsi="宋体"/>
                <w:color w:val="auto"/>
              </w:rPr>
              <w:t>分</w:t>
            </w:r>
          </w:p>
        </w:tc>
        <w:tc>
          <w:tcPr>
            <w:tcW w:w="655" w:type="dxa"/>
            <w:tcBorders>
              <w:top w:val="single" w:color="auto" w:sz="4" w:space="0"/>
              <w:left w:val="nil"/>
              <w:bottom w:val="single" w:color="auto" w:sz="4" w:space="0"/>
              <w:right w:val="single" w:color="auto" w:sz="4" w:space="0"/>
            </w:tcBorders>
            <w:noWrap w:val="0"/>
            <w:vAlign w:val="center"/>
          </w:tcPr>
          <w:p w14:paraId="48E1ABDD">
            <w:pPr>
              <w:adjustRightInd w:val="0"/>
              <w:snapToGrid w:val="0"/>
              <w:spacing w:before="0" w:beforeAutospacing="0" w:after="0" w:afterAutospacing="0"/>
              <w:ind w:left="0" w:right="0"/>
              <w:jc w:val="center"/>
              <w:rPr>
                <w:rFonts w:hint="default"/>
                <w:color w:val="auto"/>
                <w:kern w:val="0"/>
                <w:szCs w:val="21"/>
              </w:rPr>
            </w:pPr>
          </w:p>
        </w:tc>
      </w:tr>
      <w:tr w14:paraId="3AD59D18">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auto" w:sz="4" w:space="0"/>
              <w:right w:val="single" w:color="auto" w:sz="4" w:space="0"/>
            </w:tcBorders>
            <w:noWrap w:val="0"/>
            <w:vAlign w:val="center"/>
          </w:tcPr>
          <w:p w14:paraId="7D666705">
            <w:pPr>
              <w:adjustRightInd w:val="0"/>
              <w:snapToGrid w:val="0"/>
              <w:spacing w:before="0" w:beforeAutospacing="0" w:after="0" w:afterAutospacing="0"/>
              <w:ind w:left="0" w:right="0"/>
              <w:jc w:val="left"/>
              <w:rPr>
                <w:rFonts w:hint="default"/>
                <w:b/>
                <w:bCs/>
                <w:color w:val="auto"/>
                <w:kern w:val="0"/>
                <w:szCs w:val="21"/>
              </w:rPr>
            </w:pPr>
            <w:r>
              <w:rPr>
                <w:rFonts w:hint="default"/>
                <w:b/>
                <w:bCs/>
                <w:color w:val="auto"/>
                <w:kern w:val="0"/>
              </w:rPr>
              <w:t>4.</w:t>
            </w:r>
            <w:r>
              <w:rPr>
                <w:rFonts w:hint="eastAsia" w:ascii="宋体" w:hAnsi="宋体"/>
                <w:b/>
                <w:bCs/>
                <w:color w:val="auto"/>
                <w:kern w:val="0"/>
              </w:rPr>
              <w:t>后勤保障情况</w:t>
            </w:r>
          </w:p>
          <w:p w14:paraId="7849F477">
            <w:pPr>
              <w:adjustRightInd w:val="0"/>
              <w:snapToGrid w:val="0"/>
              <w:spacing w:before="0" w:beforeAutospacing="0" w:after="0" w:afterAutospacing="0"/>
              <w:ind w:left="0" w:right="0"/>
              <w:jc w:val="left"/>
              <w:rPr>
                <w:rFonts w:hint="default"/>
                <w:b/>
                <w:bCs/>
                <w:color w:val="auto"/>
                <w:kern w:val="0"/>
                <w:szCs w:val="21"/>
              </w:rPr>
            </w:pPr>
            <w:r>
              <w:rPr>
                <w:rFonts w:hint="eastAsia"/>
                <w:b/>
                <w:bCs/>
                <w:color w:val="auto"/>
                <w:kern w:val="0"/>
              </w:rPr>
              <w:t>（</w:t>
            </w:r>
            <w:r>
              <w:rPr>
                <w:rFonts w:hint="eastAsia"/>
                <w:b/>
                <w:bCs/>
                <w:color w:val="auto"/>
                <w:kern w:val="0"/>
                <w:lang w:val="en-US" w:eastAsia="zh-CN"/>
              </w:rPr>
              <w:t>3</w:t>
            </w:r>
            <w:r>
              <w:rPr>
                <w:rFonts w:hint="eastAsia" w:ascii="宋体" w:hAnsi="宋体"/>
                <w:b/>
                <w:bCs/>
                <w:color w:val="auto"/>
                <w:kern w:val="0"/>
              </w:rPr>
              <w:t>分）</w:t>
            </w:r>
          </w:p>
        </w:tc>
        <w:tc>
          <w:tcPr>
            <w:tcW w:w="5400" w:type="dxa"/>
            <w:tcBorders>
              <w:top w:val="single" w:color="auto" w:sz="4" w:space="0"/>
              <w:left w:val="nil"/>
              <w:bottom w:val="single" w:color="auto" w:sz="4" w:space="0"/>
              <w:right w:val="single" w:color="auto" w:sz="4" w:space="0"/>
            </w:tcBorders>
            <w:noWrap w:val="0"/>
            <w:vAlign w:val="center"/>
          </w:tcPr>
          <w:p w14:paraId="21861929">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本城市备机数量</w:t>
            </w:r>
            <w:r>
              <w:rPr>
                <w:rFonts w:hint="default"/>
                <w:color w:val="auto"/>
                <w:kern w:val="0"/>
              </w:rPr>
              <w:t>_______</w:t>
            </w:r>
            <w:r>
              <w:rPr>
                <w:rFonts w:hint="eastAsia" w:ascii="宋体" w:hAnsi="宋体"/>
                <w:color w:val="auto"/>
                <w:kern w:val="0"/>
              </w:rPr>
              <w:t>，能否满足至少</w:t>
            </w:r>
            <w:r>
              <w:rPr>
                <w:rFonts w:hint="default"/>
                <w:color w:val="auto"/>
                <w:kern w:val="0"/>
              </w:rPr>
              <w:t>1</w:t>
            </w:r>
            <w:r>
              <w:rPr>
                <w:rFonts w:hint="eastAsia" w:ascii="宋体" w:hAnsi="宋体"/>
                <w:color w:val="auto"/>
                <w:kern w:val="0"/>
              </w:rPr>
              <w:t>套</w:t>
            </w:r>
            <w:r>
              <w:rPr>
                <w:rFonts w:hint="default"/>
                <w:color w:val="auto"/>
                <w:kern w:val="0"/>
              </w:rPr>
              <w:t>/3</w:t>
            </w:r>
            <w:r>
              <w:rPr>
                <w:rFonts w:hint="eastAsia" w:ascii="宋体" w:hAnsi="宋体"/>
                <w:color w:val="auto"/>
                <w:kern w:val="0"/>
              </w:rPr>
              <w:t>个子站要求</w:t>
            </w:r>
          </w:p>
        </w:tc>
        <w:tc>
          <w:tcPr>
            <w:tcW w:w="1060" w:type="dxa"/>
            <w:tcBorders>
              <w:top w:val="single" w:color="auto" w:sz="4" w:space="0"/>
              <w:left w:val="nil"/>
              <w:bottom w:val="single" w:color="auto" w:sz="4" w:space="0"/>
              <w:right w:val="single" w:color="auto" w:sz="4" w:space="0"/>
            </w:tcBorders>
            <w:noWrap w:val="0"/>
            <w:vAlign w:val="center"/>
          </w:tcPr>
          <w:p w14:paraId="50B1B2D3">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728372A2">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63CC3323">
            <w:pPr>
              <w:adjustRightInd w:val="0"/>
              <w:snapToGrid w:val="0"/>
              <w:spacing w:before="0" w:beforeAutospacing="0" w:after="0" w:afterAutospacing="0"/>
              <w:ind w:left="0" w:right="0"/>
              <w:jc w:val="center"/>
              <w:rPr>
                <w:rFonts w:hint="default"/>
                <w:color w:val="auto"/>
                <w:kern w:val="0"/>
                <w:szCs w:val="21"/>
              </w:rPr>
            </w:pPr>
          </w:p>
        </w:tc>
      </w:tr>
      <w:tr w14:paraId="453EFD8B">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2463923">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1ECD2434">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本城市运营人员数量</w:t>
            </w:r>
            <w:r>
              <w:rPr>
                <w:rFonts w:hint="default"/>
                <w:color w:val="auto"/>
                <w:kern w:val="0"/>
              </w:rPr>
              <w:t>_____</w:t>
            </w:r>
            <w:r>
              <w:rPr>
                <w:rFonts w:hint="eastAsia" w:ascii="宋体" w:hAnsi="宋体"/>
                <w:color w:val="auto"/>
                <w:kern w:val="0"/>
              </w:rPr>
              <w:t>，能否满足至少</w:t>
            </w:r>
            <w:r>
              <w:rPr>
                <w:rFonts w:hint="default"/>
                <w:color w:val="auto"/>
                <w:kern w:val="0"/>
              </w:rPr>
              <w:t>1</w:t>
            </w:r>
            <w:r>
              <w:rPr>
                <w:rFonts w:hint="eastAsia" w:ascii="宋体" w:hAnsi="宋体"/>
                <w:color w:val="auto"/>
                <w:kern w:val="0"/>
              </w:rPr>
              <w:t xml:space="preserve">人 </w:t>
            </w:r>
            <w:r>
              <w:rPr>
                <w:rFonts w:hint="default"/>
                <w:color w:val="auto"/>
                <w:kern w:val="0"/>
              </w:rPr>
              <w:t>/3</w:t>
            </w:r>
            <w:r>
              <w:rPr>
                <w:rFonts w:hint="eastAsia" w:ascii="宋体" w:hAnsi="宋体"/>
                <w:color w:val="auto"/>
                <w:kern w:val="0"/>
              </w:rPr>
              <w:t>个子站要求</w:t>
            </w:r>
          </w:p>
        </w:tc>
        <w:tc>
          <w:tcPr>
            <w:tcW w:w="1060" w:type="dxa"/>
            <w:tcBorders>
              <w:top w:val="single" w:color="auto" w:sz="4" w:space="0"/>
              <w:left w:val="nil"/>
              <w:bottom w:val="single" w:color="auto" w:sz="4" w:space="0"/>
              <w:right w:val="single" w:color="auto" w:sz="4" w:space="0"/>
            </w:tcBorders>
            <w:noWrap w:val="0"/>
            <w:vAlign w:val="center"/>
          </w:tcPr>
          <w:p w14:paraId="3A9FF3B7">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5D86BFF3">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68FAFBEA">
            <w:pPr>
              <w:adjustRightInd w:val="0"/>
              <w:snapToGrid w:val="0"/>
              <w:spacing w:before="0" w:beforeAutospacing="0" w:after="0" w:afterAutospacing="0"/>
              <w:ind w:left="0" w:right="0"/>
              <w:jc w:val="center"/>
              <w:rPr>
                <w:rFonts w:hint="default"/>
                <w:color w:val="auto"/>
                <w:kern w:val="0"/>
                <w:szCs w:val="21"/>
              </w:rPr>
            </w:pPr>
          </w:p>
        </w:tc>
      </w:tr>
      <w:tr w14:paraId="29E83488">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664EA618">
            <w:pPr>
              <w:widowControl/>
              <w:spacing w:before="0" w:beforeAutospacing="0" w:after="0" w:afterAutospacing="0"/>
              <w:ind w:left="0" w:right="0"/>
              <w:jc w:val="left"/>
              <w:rPr>
                <w:rFonts w:hint="default"/>
                <w:b/>
                <w:bCs/>
                <w:color w:val="auto"/>
                <w:kern w:val="0"/>
                <w:szCs w:val="21"/>
              </w:rPr>
            </w:pPr>
          </w:p>
        </w:tc>
        <w:tc>
          <w:tcPr>
            <w:tcW w:w="5400" w:type="dxa"/>
            <w:tcBorders>
              <w:top w:val="single" w:color="auto" w:sz="4" w:space="0"/>
              <w:left w:val="nil"/>
              <w:bottom w:val="single" w:color="auto" w:sz="4" w:space="0"/>
              <w:right w:val="single" w:color="auto" w:sz="4" w:space="0"/>
            </w:tcBorders>
            <w:noWrap w:val="0"/>
            <w:vAlign w:val="center"/>
          </w:tcPr>
          <w:p w14:paraId="15705373">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本城市车辆数量</w:t>
            </w:r>
            <w:r>
              <w:rPr>
                <w:rFonts w:hint="default"/>
                <w:color w:val="auto"/>
                <w:kern w:val="0"/>
              </w:rPr>
              <w:t>________</w:t>
            </w:r>
            <w:r>
              <w:rPr>
                <w:rFonts w:hint="eastAsia" w:ascii="宋体" w:hAnsi="宋体"/>
                <w:color w:val="auto"/>
                <w:kern w:val="0"/>
              </w:rPr>
              <w:t>，能否满足至少</w:t>
            </w:r>
            <w:r>
              <w:rPr>
                <w:rFonts w:hint="default"/>
                <w:color w:val="auto"/>
                <w:kern w:val="0"/>
              </w:rPr>
              <w:t xml:space="preserve">1 </w:t>
            </w:r>
            <w:r>
              <w:rPr>
                <w:rFonts w:hint="eastAsia" w:ascii="宋体" w:hAnsi="宋体"/>
                <w:color w:val="auto"/>
                <w:kern w:val="0"/>
              </w:rPr>
              <w:t>辆</w:t>
            </w:r>
            <w:r>
              <w:rPr>
                <w:rFonts w:hint="default"/>
                <w:color w:val="auto"/>
                <w:kern w:val="0"/>
              </w:rPr>
              <w:t>/3</w:t>
            </w:r>
            <w:r>
              <w:rPr>
                <w:rFonts w:hint="eastAsia" w:ascii="宋体" w:hAnsi="宋体"/>
                <w:color w:val="auto"/>
                <w:kern w:val="0"/>
              </w:rPr>
              <w:t>个子站要求</w:t>
            </w:r>
          </w:p>
        </w:tc>
        <w:tc>
          <w:tcPr>
            <w:tcW w:w="1060" w:type="dxa"/>
            <w:tcBorders>
              <w:top w:val="single" w:color="auto" w:sz="4" w:space="0"/>
              <w:left w:val="nil"/>
              <w:bottom w:val="single" w:color="auto" w:sz="4" w:space="0"/>
              <w:right w:val="single" w:color="auto" w:sz="4" w:space="0"/>
            </w:tcBorders>
            <w:noWrap w:val="0"/>
            <w:vAlign w:val="center"/>
          </w:tcPr>
          <w:p w14:paraId="45980A78">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w:t>
            </w:r>
          </w:p>
        </w:tc>
        <w:tc>
          <w:tcPr>
            <w:tcW w:w="1525" w:type="dxa"/>
            <w:tcBorders>
              <w:top w:val="single" w:color="auto" w:sz="4" w:space="0"/>
              <w:left w:val="nil"/>
              <w:bottom w:val="single" w:color="auto" w:sz="4" w:space="0"/>
              <w:right w:val="single" w:color="auto" w:sz="4" w:space="0"/>
            </w:tcBorders>
            <w:noWrap w:val="0"/>
            <w:vAlign w:val="center"/>
          </w:tcPr>
          <w:p w14:paraId="1D2248FA">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15EC2A3B">
            <w:pPr>
              <w:adjustRightInd w:val="0"/>
              <w:snapToGrid w:val="0"/>
              <w:spacing w:before="0" w:beforeAutospacing="0" w:after="0" w:afterAutospacing="0"/>
              <w:ind w:left="0" w:right="0"/>
              <w:jc w:val="center"/>
              <w:rPr>
                <w:rFonts w:hint="default"/>
                <w:color w:val="auto"/>
                <w:kern w:val="0"/>
                <w:szCs w:val="21"/>
              </w:rPr>
            </w:pPr>
          </w:p>
        </w:tc>
      </w:tr>
      <w:tr w14:paraId="4D1579CB">
        <w:tblPrEx>
          <w:tblCellMar>
            <w:top w:w="0" w:type="dxa"/>
            <w:left w:w="108" w:type="dxa"/>
            <w:bottom w:w="0" w:type="dxa"/>
            <w:right w:w="108" w:type="dxa"/>
          </w:tblCellMar>
        </w:tblPrEx>
        <w:trPr>
          <w:trHeight w:val="817" w:hRule="atLeast"/>
          <w:jc w:val="center"/>
        </w:trPr>
        <w:tc>
          <w:tcPr>
            <w:tcW w:w="1080" w:type="dxa"/>
            <w:tcBorders>
              <w:top w:val="nil"/>
              <w:left w:val="single" w:color="auto" w:sz="4" w:space="0"/>
              <w:right w:val="single" w:color="auto" w:sz="4" w:space="0"/>
            </w:tcBorders>
            <w:noWrap w:val="0"/>
            <w:vAlign w:val="center"/>
          </w:tcPr>
          <w:p w14:paraId="25564454">
            <w:pPr>
              <w:adjustRightInd w:val="0"/>
              <w:snapToGrid w:val="0"/>
              <w:spacing w:before="0" w:beforeAutospacing="0" w:after="0" w:afterAutospacing="0"/>
              <w:ind w:left="0" w:right="0"/>
              <w:jc w:val="left"/>
              <w:rPr>
                <w:rFonts w:hint="eastAsia" w:ascii="Times New Roman" w:hAnsi="Times New Roman" w:eastAsia="宋体" w:cs="Times New Roman"/>
                <w:b/>
                <w:bCs/>
                <w:color w:val="auto"/>
                <w:kern w:val="0"/>
                <w:lang w:eastAsia="zh-CN"/>
              </w:rPr>
            </w:pPr>
            <w:r>
              <w:rPr>
                <w:rFonts w:hint="eastAsia" w:ascii="Times New Roman" w:hAnsi="Times New Roman" w:eastAsia="宋体" w:cs="Times New Roman"/>
                <w:b/>
                <w:bCs/>
                <w:color w:val="auto"/>
                <w:kern w:val="0"/>
                <w:lang w:val="en-US" w:eastAsia="zh-CN"/>
              </w:rPr>
              <w:t>5.</w:t>
            </w:r>
            <w:r>
              <w:rPr>
                <w:rFonts w:hint="eastAsia" w:ascii="Times New Roman" w:hAnsi="Times New Roman" w:cs="Times New Roman"/>
                <w:b/>
                <w:bCs/>
                <w:color w:val="auto"/>
                <w:kern w:val="0"/>
                <w:lang w:val="en-US" w:eastAsia="zh-CN"/>
              </w:rPr>
              <w:t>数据</w:t>
            </w:r>
            <w:r>
              <w:rPr>
                <w:rFonts w:hint="eastAsia" w:ascii="Times New Roman" w:hAnsi="Times New Roman" w:eastAsia="宋体"/>
                <w:b/>
                <w:bCs/>
                <w:color w:val="auto"/>
                <w:kern w:val="0"/>
                <w:sz w:val="21"/>
                <w:szCs w:val="20"/>
                <w:lang w:val="en-US" w:eastAsia="zh-CN"/>
              </w:rPr>
              <w:t>入库率</w:t>
            </w:r>
            <w:r>
              <w:rPr>
                <w:rFonts w:hint="eastAsia" w:ascii="Times New Roman" w:hAnsi="Times New Roman" w:eastAsia="宋体" w:cs="Times New Roman"/>
                <w:b/>
                <w:bCs/>
                <w:color w:val="auto"/>
                <w:kern w:val="0"/>
                <w:lang w:eastAsia="zh-CN"/>
              </w:rPr>
              <w:t>（</w:t>
            </w:r>
            <w:r>
              <w:rPr>
                <w:rFonts w:hint="eastAsia" w:ascii="Times New Roman" w:hAnsi="Times New Roman" w:cs="Times New Roman"/>
                <w:b/>
                <w:bCs/>
                <w:color w:val="auto"/>
                <w:kern w:val="0"/>
                <w:lang w:val="en-US" w:eastAsia="zh-CN"/>
              </w:rPr>
              <w:t>5</w:t>
            </w:r>
            <w:r>
              <w:rPr>
                <w:rFonts w:hint="eastAsia" w:ascii="Times New Roman" w:hAnsi="Times New Roman" w:eastAsia="宋体" w:cs="Times New Roman"/>
                <w:b/>
                <w:bCs/>
                <w:color w:val="auto"/>
                <w:kern w:val="0"/>
                <w:lang w:val="en-US" w:eastAsia="zh-CN"/>
              </w:rPr>
              <w:t>0分</w:t>
            </w:r>
            <w:r>
              <w:rPr>
                <w:rFonts w:hint="eastAsia" w:ascii="Times New Roman" w:hAnsi="Times New Roman" w:eastAsia="宋体" w:cs="Times New Roman"/>
                <w:b/>
                <w:bCs/>
                <w:color w:val="auto"/>
                <w:kern w:val="0"/>
                <w:lang w:eastAsia="zh-CN"/>
              </w:rPr>
              <w:t>）</w:t>
            </w:r>
          </w:p>
        </w:tc>
        <w:tc>
          <w:tcPr>
            <w:tcW w:w="5400" w:type="dxa"/>
            <w:tcBorders>
              <w:top w:val="single" w:color="auto" w:sz="4" w:space="0"/>
              <w:left w:val="nil"/>
              <w:right w:val="single" w:color="auto" w:sz="4" w:space="0"/>
            </w:tcBorders>
            <w:noWrap w:val="0"/>
            <w:vAlign w:val="center"/>
          </w:tcPr>
          <w:p w14:paraId="6404BE7B">
            <w:pPr>
              <w:adjustRightInd w:val="0"/>
              <w:snapToGrid w:val="0"/>
              <w:spacing w:before="0" w:beforeAutospacing="0" w:after="0" w:afterAutospacing="0"/>
              <w:ind w:left="0" w:right="0"/>
              <w:jc w:val="left"/>
              <w:rPr>
                <w:rFonts w:hint="default" w:ascii="Times New Roman" w:hAnsi="Times New Roman" w:eastAsia="宋体" w:cs="Times New Roman"/>
                <w:color w:val="auto"/>
                <w:kern w:val="0"/>
                <w:lang w:val="en-US"/>
              </w:rPr>
            </w:pPr>
            <w:r>
              <w:rPr>
                <w:rFonts w:hint="eastAsia" w:ascii="Times New Roman" w:hAnsi="Times New Roman"/>
                <w:color w:val="auto"/>
                <w:kern w:val="0"/>
                <w:sz w:val="21"/>
                <w:szCs w:val="20"/>
                <w:lang w:val="en-US" w:eastAsia="zh-CN"/>
              </w:rPr>
              <w:t>每季度</w:t>
            </w:r>
            <w:r>
              <w:rPr>
                <w:rFonts w:hint="eastAsia" w:ascii="Times New Roman" w:hAnsi="Times New Roman" w:eastAsia="宋体"/>
                <w:color w:val="auto"/>
                <w:kern w:val="0"/>
                <w:sz w:val="21"/>
                <w:szCs w:val="20"/>
                <w:lang w:val="en-US" w:eastAsia="zh-CN"/>
              </w:rPr>
              <w:t>单站直连国家实时数据和审核数据的入库率</w:t>
            </w:r>
            <w:r>
              <w:rPr>
                <w:rFonts w:hint="eastAsia" w:ascii="Times New Roman" w:hAnsi="Times New Roman" w:eastAsia="宋体" w:cs="Times New Roman"/>
                <w:color w:val="auto"/>
                <w:kern w:val="0"/>
              </w:rPr>
              <w:t>≥9</w:t>
            </w: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rPr>
              <w:t>%</w:t>
            </w:r>
            <w:r>
              <w:rPr>
                <w:rFonts w:hint="eastAsia" w:ascii="Times New Roman" w:hAnsi="Times New Roman" w:cs="Times New Roman"/>
                <w:color w:val="auto"/>
                <w:kern w:val="0"/>
                <w:lang w:eastAsia="zh-CN"/>
              </w:rPr>
              <w:t>，</w:t>
            </w:r>
            <w:r>
              <w:rPr>
                <w:rFonts w:hint="eastAsia" w:ascii="Times New Roman" w:hAnsi="Times New Roman" w:eastAsia="宋体"/>
                <w:color w:val="auto"/>
                <w:kern w:val="0"/>
                <w:sz w:val="21"/>
                <w:szCs w:val="20"/>
                <w:lang w:val="en-US" w:eastAsia="zh-CN"/>
              </w:rPr>
              <w:t>入库率</w:t>
            </w:r>
            <w:r>
              <w:rPr>
                <w:rFonts w:hint="eastAsia" w:ascii="Times New Roman" w:hAnsi="Times New Roman" w:cs="Times New Roman"/>
                <w:color w:val="auto"/>
                <w:kern w:val="0"/>
                <w:lang w:val="en-US" w:eastAsia="zh-CN"/>
              </w:rPr>
              <w:t>每降低1%，扣10分，扣完为止。</w:t>
            </w:r>
          </w:p>
        </w:tc>
        <w:tc>
          <w:tcPr>
            <w:tcW w:w="1060" w:type="dxa"/>
            <w:tcBorders>
              <w:top w:val="single" w:color="auto" w:sz="4" w:space="0"/>
              <w:left w:val="nil"/>
              <w:right w:val="single" w:color="auto" w:sz="4" w:space="0"/>
            </w:tcBorders>
            <w:noWrap w:val="0"/>
            <w:vAlign w:val="center"/>
          </w:tcPr>
          <w:p w14:paraId="24FCC66D">
            <w:pPr>
              <w:adjustRightInd w:val="0"/>
              <w:snapToGrid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50</w:t>
            </w:r>
          </w:p>
        </w:tc>
        <w:tc>
          <w:tcPr>
            <w:tcW w:w="1525" w:type="dxa"/>
            <w:tcBorders>
              <w:top w:val="single" w:color="auto" w:sz="4" w:space="0"/>
              <w:left w:val="nil"/>
              <w:right w:val="single" w:color="auto" w:sz="4" w:space="0"/>
            </w:tcBorders>
            <w:noWrap w:val="0"/>
            <w:vAlign w:val="center"/>
          </w:tcPr>
          <w:p w14:paraId="42CFD7B0">
            <w:pPr>
              <w:snapToGrid w:val="0"/>
              <w:spacing w:before="0" w:beforeAutospacing="0" w:after="0" w:afterAutospacing="0"/>
              <w:ind w:left="0" w:right="0"/>
              <w:rPr>
                <w:rFonts w:hint="eastAsia"/>
                <w:color w:val="auto"/>
                <w:szCs w:val="21"/>
                <w:lang w:val="en-US" w:eastAsia="zh-CN"/>
              </w:rPr>
            </w:pPr>
          </w:p>
          <w:p w14:paraId="41C55344">
            <w:pPr>
              <w:snapToGrid w:val="0"/>
              <w:spacing w:before="0" w:beforeAutospacing="0" w:after="0" w:afterAutospacing="0"/>
              <w:ind w:left="0" w:right="0"/>
              <w:rPr>
                <w:rFonts w:hint="default"/>
                <w:color w:val="auto"/>
                <w:szCs w:val="21"/>
              </w:rPr>
            </w:pPr>
          </w:p>
        </w:tc>
        <w:tc>
          <w:tcPr>
            <w:tcW w:w="655" w:type="dxa"/>
            <w:tcBorders>
              <w:top w:val="single" w:color="auto" w:sz="4" w:space="0"/>
              <w:left w:val="nil"/>
              <w:bottom w:val="single" w:color="auto" w:sz="4" w:space="0"/>
              <w:right w:val="single" w:color="auto" w:sz="4" w:space="0"/>
            </w:tcBorders>
            <w:noWrap w:val="0"/>
            <w:vAlign w:val="center"/>
          </w:tcPr>
          <w:p w14:paraId="0CA60B54">
            <w:pPr>
              <w:adjustRightInd w:val="0"/>
              <w:snapToGrid w:val="0"/>
              <w:spacing w:before="0" w:beforeAutospacing="0" w:after="0" w:afterAutospacing="0"/>
              <w:ind w:left="0" w:right="0"/>
              <w:jc w:val="center"/>
              <w:rPr>
                <w:rFonts w:hint="default"/>
                <w:color w:val="auto"/>
                <w:kern w:val="0"/>
                <w:szCs w:val="21"/>
              </w:rPr>
            </w:pPr>
          </w:p>
        </w:tc>
      </w:tr>
      <w:tr w14:paraId="31CD01DF">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7757503">
            <w:pPr>
              <w:adjustRightInd w:val="0"/>
              <w:snapToGrid w:val="0"/>
              <w:spacing w:before="0" w:beforeAutospacing="0" w:after="0" w:afterAutospacing="0"/>
              <w:ind w:left="0" w:right="0"/>
              <w:jc w:val="left"/>
              <w:rPr>
                <w:rFonts w:hint="default"/>
                <w:b/>
                <w:bCs/>
                <w:color w:val="auto"/>
                <w:kern w:val="0"/>
                <w:szCs w:val="21"/>
              </w:rPr>
            </w:pPr>
            <w:r>
              <w:rPr>
                <w:rFonts w:hint="eastAsia"/>
                <w:b/>
                <w:bCs/>
                <w:color w:val="auto"/>
                <w:kern w:val="0"/>
                <w:lang w:val="en-US" w:eastAsia="zh-CN"/>
              </w:rPr>
              <w:t>6</w:t>
            </w:r>
            <w:r>
              <w:rPr>
                <w:rFonts w:hint="default"/>
                <w:b/>
                <w:bCs/>
                <w:color w:val="auto"/>
                <w:kern w:val="0"/>
              </w:rPr>
              <w:t xml:space="preserve">. </w:t>
            </w:r>
            <w:r>
              <w:rPr>
                <w:rFonts w:hint="eastAsia" w:ascii="宋体" w:hAnsi="宋体"/>
                <w:b/>
                <w:bCs/>
                <w:color w:val="auto"/>
                <w:kern w:val="0"/>
              </w:rPr>
              <w:t>数据造假</w:t>
            </w:r>
          </w:p>
        </w:tc>
        <w:tc>
          <w:tcPr>
            <w:tcW w:w="5400" w:type="dxa"/>
            <w:tcBorders>
              <w:top w:val="single" w:color="auto" w:sz="4" w:space="0"/>
              <w:left w:val="nil"/>
              <w:bottom w:val="single" w:color="auto" w:sz="4" w:space="0"/>
              <w:right w:val="single" w:color="auto" w:sz="4" w:space="0"/>
            </w:tcBorders>
            <w:noWrap w:val="0"/>
            <w:vAlign w:val="center"/>
          </w:tcPr>
          <w:p w14:paraId="41F5C627">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检查过程中如发现有数据造假情况（判定方法按照《环境监测数据弄虚作假处理办法》及实施细则）</w:t>
            </w:r>
          </w:p>
        </w:tc>
        <w:tc>
          <w:tcPr>
            <w:tcW w:w="1060" w:type="dxa"/>
            <w:tcBorders>
              <w:top w:val="single" w:color="auto" w:sz="4" w:space="0"/>
              <w:left w:val="nil"/>
              <w:bottom w:val="single" w:color="auto" w:sz="4" w:space="0"/>
              <w:right w:val="single" w:color="auto" w:sz="4" w:space="0"/>
            </w:tcBorders>
            <w:noWrap w:val="0"/>
            <w:vAlign w:val="center"/>
          </w:tcPr>
          <w:p w14:paraId="75E8DA34">
            <w:pPr>
              <w:adjustRightInd w:val="0"/>
              <w:snapToGrid w:val="0"/>
              <w:spacing w:before="0" w:beforeAutospacing="0" w:after="0" w:afterAutospacing="0"/>
              <w:ind w:left="0" w:right="0"/>
              <w:jc w:val="center"/>
              <w:rPr>
                <w:rFonts w:hint="default"/>
                <w:color w:val="auto"/>
                <w:kern w:val="0"/>
                <w:szCs w:val="21"/>
              </w:rPr>
            </w:pPr>
          </w:p>
        </w:tc>
        <w:tc>
          <w:tcPr>
            <w:tcW w:w="1525" w:type="dxa"/>
            <w:tcBorders>
              <w:top w:val="single" w:color="auto" w:sz="4" w:space="0"/>
              <w:left w:val="nil"/>
              <w:bottom w:val="single" w:color="auto" w:sz="4" w:space="0"/>
              <w:right w:val="single" w:color="auto" w:sz="4" w:space="0"/>
            </w:tcBorders>
            <w:noWrap w:val="0"/>
            <w:vAlign w:val="center"/>
          </w:tcPr>
          <w:p w14:paraId="2C2DACC6">
            <w:pPr>
              <w:adjustRightInd w:val="0"/>
              <w:snapToGrid w:val="0"/>
              <w:spacing w:before="0" w:beforeAutospacing="0" w:after="0" w:afterAutospacing="0"/>
              <w:ind w:left="0" w:right="0"/>
              <w:jc w:val="center"/>
              <w:rPr>
                <w:rFonts w:hint="default"/>
                <w:color w:val="auto"/>
                <w:kern w:val="0"/>
                <w:szCs w:val="21"/>
              </w:rPr>
            </w:pPr>
            <w:r>
              <w:rPr>
                <w:rFonts w:hint="eastAsia"/>
                <w:color w:val="auto"/>
                <w:kern w:val="0"/>
              </w:rPr>
              <w:t>直接扣</w:t>
            </w:r>
            <w:r>
              <w:rPr>
                <w:rFonts w:hint="eastAsia"/>
                <w:color w:val="auto"/>
                <w:kern w:val="0"/>
                <w:lang w:val="en-US" w:eastAsia="zh-CN"/>
              </w:rPr>
              <w:t>10</w:t>
            </w:r>
            <w:r>
              <w:rPr>
                <w:rFonts w:hint="default"/>
                <w:color w:val="auto"/>
                <w:kern w:val="0"/>
              </w:rPr>
              <w:t>0</w:t>
            </w:r>
            <w:r>
              <w:rPr>
                <w:rFonts w:hint="eastAsia" w:ascii="宋体" w:hAnsi="宋体"/>
                <w:color w:val="auto"/>
                <w:kern w:val="0"/>
              </w:rPr>
              <w:t>分</w:t>
            </w:r>
          </w:p>
        </w:tc>
        <w:tc>
          <w:tcPr>
            <w:tcW w:w="655" w:type="dxa"/>
            <w:tcBorders>
              <w:top w:val="single" w:color="auto" w:sz="4" w:space="0"/>
              <w:left w:val="nil"/>
              <w:bottom w:val="single" w:color="auto" w:sz="4" w:space="0"/>
              <w:right w:val="single" w:color="auto" w:sz="4" w:space="0"/>
            </w:tcBorders>
            <w:noWrap w:val="0"/>
            <w:vAlign w:val="center"/>
          </w:tcPr>
          <w:p w14:paraId="3E973319">
            <w:pPr>
              <w:adjustRightInd w:val="0"/>
              <w:snapToGrid w:val="0"/>
              <w:spacing w:before="0" w:beforeAutospacing="0" w:after="0" w:afterAutospacing="0"/>
              <w:ind w:left="0" w:right="0"/>
              <w:jc w:val="center"/>
              <w:rPr>
                <w:rFonts w:hint="default"/>
                <w:color w:val="auto"/>
                <w:kern w:val="0"/>
                <w:szCs w:val="21"/>
              </w:rPr>
            </w:pPr>
          </w:p>
        </w:tc>
      </w:tr>
      <w:tr w14:paraId="61804DDC">
        <w:tblPrEx>
          <w:tblCellMar>
            <w:top w:w="0" w:type="dxa"/>
            <w:left w:w="108" w:type="dxa"/>
            <w:bottom w:w="0" w:type="dxa"/>
            <w:right w:w="108" w:type="dxa"/>
          </w:tblCellMar>
        </w:tblPrEx>
        <w:trPr>
          <w:trHeight w:val="146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5222A10">
            <w:pPr>
              <w:adjustRightInd w:val="0"/>
              <w:snapToGrid w:val="0"/>
              <w:spacing w:before="0" w:beforeAutospacing="0" w:after="0" w:afterAutospacing="0"/>
              <w:ind w:left="0" w:right="0"/>
              <w:jc w:val="left"/>
              <w:rPr>
                <w:rFonts w:hint="eastAsia"/>
                <w:b/>
                <w:bCs/>
                <w:color w:val="auto"/>
                <w:kern w:val="0"/>
                <w:lang w:val="en-US" w:eastAsia="zh-CN"/>
              </w:rPr>
            </w:pPr>
            <w:r>
              <w:rPr>
                <w:rFonts w:hint="eastAsia"/>
                <w:b/>
                <w:bCs/>
                <w:color w:val="auto"/>
                <w:kern w:val="0"/>
                <w:lang w:val="en-US" w:eastAsia="zh-CN"/>
              </w:rPr>
              <w:t>7</w:t>
            </w:r>
            <w:r>
              <w:rPr>
                <w:rFonts w:hint="default"/>
                <w:b/>
                <w:bCs/>
                <w:color w:val="auto"/>
                <w:kern w:val="0"/>
              </w:rPr>
              <w:t xml:space="preserve">. </w:t>
            </w:r>
            <w:r>
              <w:rPr>
                <w:rFonts w:hint="eastAsia" w:ascii="宋体" w:hAnsi="宋体"/>
                <w:b/>
                <w:bCs/>
                <w:color w:val="auto"/>
                <w:kern w:val="0"/>
              </w:rPr>
              <w:t>其他问题</w:t>
            </w:r>
          </w:p>
        </w:tc>
        <w:tc>
          <w:tcPr>
            <w:tcW w:w="5400" w:type="dxa"/>
            <w:tcBorders>
              <w:top w:val="single" w:color="auto" w:sz="4" w:space="0"/>
              <w:left w:val="nil"/>
              <w:bottom w:val="single" w:color="auto" w:sz="4" w:space="0"/>
              <w:right w:val="single" w:color="auto" w:sz="4" w:space="0"/>
            </w:tcBorders>
            <w:noWrap w:val="0"/>
            <w:vAlign w:val="center"/>
          </w:tcPr>
          <w:p w14:paraId="3B8C4FC7">
            <w:pPr>
              <w:adjustRightInd w:val="0"/>
              <w:snapToGrid w:val="0"/>
              <w:spacing w:before="0" w:beforeAutospacing="0" w:after="0" w:afterAutospacing="0"/>
              <w:ind w:left="0" w:right="0"/>
              <w:jc w:val="left"/>
              <w:rPr>
                <w:rFonts w:hint="default" w:eastAsia="宋体"/>
                <w:color w:val="auto"/>
                <w:kern w:val="0"/>
                <w:lang w:val="en-US" w:eastAsia="zh-CN"/>
              </w:rPr>
            </w:pPr>
            <w:r>
              <w:rPr>
                <w:rFonts w:hint="eastAsia" w:ascii="Calibri" w:eastAsia="宋体"/>
                <w:color w:val="auto"/>
                <w:kern w:val="0"/>
                <w:sz w:val="21"/>
                <w:szCs w:val="20"/>
              </w:rPr>
              <w:t>迟报、漏报或不报审核数据的；拖延、阻碍、拒绝质量检查或飞行检查的；发现采样、分析、数据采集和传输等过程人为干扰，未按要求及时向</w:t>
            </w:r>
            <w:r>
              <w:rPr>
                <w:rFonts w:hint="eastAsia" w:ascii="Calibri" w:eastAsia="宋体"/>
                <w:color w:val="auto"/>
                <w:kern w:val="0"/>
                <w:sz w:val="21"/>
                <w:szCs w:val="20"/>
                <w:lang w:val="en-US" w:eastAsia="zh-CN"/>
              </w:rPr>
              <w:t>北海</w:t>
            </w:r>
            <w:r>
              <w:rPr>
                <w:rFonts w:hint="eastAsia" w:ascii="Calibri" w:eastAsia="宋体"/>
                <w:color w:val="auto"/>
                <w:kern w:val="0"/>
                <w:sz w:val="21"/>
                <w:szCs w:val="20"/>
              </w:rPr>
              <w:t>中心报告的；因工作疏漏，未发现采样、分析、数据采集和传输等过程人为干扰的；其他不履行规定职责的情形。</w:t>
            </w:r>
          </w:p>
        </w:tc>
        <w:tc>
          <w:tcPr>
            <w:tcW w:w="1060" w:type="dxa"/>
            <w:tcBorders>
              <w:top w:val="single" w:color="auto" w:sz="4" w:space="0"/>
              <w:left w:val="nil"/>
              <w:bottom w:val="single" w:color="auto" w:sz="4" w:space="0"/>
              <w:right w:val="single" w:color="auto" w:sz="4" w:space="0"/>
            </w:tcBorders>
            <w:noWrap w:val="0"/>
            <w:vAlign w:val="center"/>
          </w:tcPr>
          <w:p w14:paraId="2788DEB5">
            <w:pPr>
              <w:adjustRightInd w:val="0"/>
              <w:snapToGrid w:val="0"/>
              <w:spacing w:before="0" w:beforeAutospacing="0" w:after="0" w:afterAutospacing="0"/>
              <w:ind w:left="0" w:right="0"/>
              <w:jc w:val="center"/>
              <w:rPr>
                <w:rFonts w:hint="default" w:eastAsia="宋体"/>
                <w:color w:val="auto"/>
                <w:kern w:val="0"/>
                <w:szCs w:val="21"/>
                <w:lang w:val="en-US" w:eastAsia="zh-CN"/>
              </w:rPr>
            </w:pPr>
          </w:p>
        </w:tc>
        <w:tc>
          <w:tcPr>
            <w:tcW w:w="1525" w:type="dxa"/>
            <w:tcBorders>
              <w:top w:val="single" w:color="auto" w:sz="4" w:space="0"/>
              <w:left w:val="nil"/>
              <w:bottom w:val="single" w:color="auto" w:sz="4" w:space="0"/>
              <w:right w:val="single" w:color="auto" w:sz="4" w:space="0"/>
            </w:tcBorders>
            <w:noWrap w:val="0"/>
            <w:vAlign w:val="center"/>
          </w:tcPr>
          <w:p w14:paraId="5BAAB8FF">
            <w:pPr>
              <w:adjustRightInd w:val="0"/>
              <w:snapToGrid w:val="0"/>
              <w:spacing w:before="0" w:beforeAutospacing="0" w:after="0" w:afterAutospacing="0"/>
              <w:ind w:left="0" w:right="0"/>
              <w:jc w:val="center"/>
              <w:rPr>
                <w:rFonts w:hint="eastAsia"/>
                <w:color w:val="auto"/>
                <w:kern w:val="0"/>
              </w:rPr>
            </w:pPr>
          </w:p>
        </w:tc>
        <w:tc>
          <w:tcPr>
            <w:tcW w:w="655" w:type="dxa"/>
            <w:tcBorders>
              <w:top w:val="single" w:color="auto" w:sz="4" w:space="0"/>
              <w:left w:val="nil"/>
              <w:bottom w:val="single" w:color="auto" w:sz="4" w:space="0"/>
              <w:right w:val="single" w:color="auto" w:sz="4" w:space="0"/>
            </w:tcBorders>
            <w:noWrap w:val="0"/>
            <w:vAlign w:val="center"/>
          </w:tcPr>
          <w:p w14:paraId="24C68E29">
            <w:pPr>
              <w:adjustRightInd w:val="0"/>
              <w:snapToGrid w:val="0"/>
              <w:spacing w:before="0" w:beforeAutospacing="0" w:after="0" w:afterAutospacing="0"/>
              <w:ind w:left="0" w:right="0"/>
              <w:jc w:val="center"/>
              <w:rPr>
                <w:rFonts w:hint="default"/>
                <w:color w:val="auto"/>
                <w:kern w:val="0"/>
                <w:szCs w:val="21"/>
              </w:rPr>
            </w:pPr>
          </w:p>
        </w:tc>
      </w:tr>
      <w:tr w14:paraId="65E1E73F">
        <w:tblPrEx>
          <w:tblCellMar>
            <w:top w:w="0" w:type="dxa"/>
            <w:left w:w="108" w:type="dxa"/>
            <w:bottom w:w="0" w:type="dxa"/>
            <w:right w:w="108" w:type="dxa"/>
          </w:tblCellMar>
        </w:tblPrEx>
        <w:trPr>
          <w:trHeight w:val="440" w:hRule="atLeast"/>
          <w:jc w:val="center"/>
        </w:trPr>
        <w:tc>
          <w:tcPr>
            <w:tcW w:w="6480" w:type="dxa"/>
            <w:gridSpan w:val="2"/>
            <w:tcBorders>
              <w:top w:val="single" w:color="auto" w:sz="4" w:space="0"/>
              <w:left w:val="single" w:color="auto" w:sz="4" w:space="0"/>
              <w:bottom w:val="single" w:color="auto" w:sz="4" w:space="0"/>
              <w:right w:val="single" w:color="auto" w:sz="4" w:space="0"/>
            </w:tcBorders>
            <w:noWrap w:val="0"/>
            <w:vAlign w:val="center"/>
          </w:tcPr>
          <w:p w14:paraId="28985727">
            <w:pPr>
              <w:adjustRightInd w:val="0"/>
              <w:snapToGrid w:val="0"/>
              <w:spacing w:before="0" w:beforeAutospacing="0" w:after="0" w:afterAutospacing="0"/>
              <w:ind w:left="0" w:right="0"/>
              <w:jc w:val="center"/>
              <w:rPr>
                <w:rFonts w:hint="eastAsia"/>
                <w:color w:val="auto"/>
                <w:kern w:val="0"/>
              </w:rPr>
            </w:pPr>
            <w:r>
              <w:rPr>
                <w:rFonts w:hint="eastAsia"/>
                <w:color w:val="auto"/>
                <w:kern w:val="0"/>
              </w:rPr>
              <w:t>总分</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0B1A8935">
            <w:pPr>
              <w:adjustRightInd w:val="0"/>
              <w:snapToGrid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100</w:t>
            </w:r>
          </w:p>
        </w:tc>
        <w:tc>
          <w:tcPr>
            <w:tcW w:w="1525" w:type="dxa"/>
            <w:tcBorders>
              <w:top w:val="single" w:color="auto" w:sz="4" w:space="0"/>
              <w:left w:val="nil"/>
              <w:bottom w:val="single" w:color="auto" w:sz="4" w:space="0"/>
              <w:right w:val="single" w:color="auto" w:sz="4" w:space="0"/>
            </w:tcBorders>
            <w:noWrap w:val="0"/>
            <w:vAlign w:val="center"/>
          </w:tcPr>
          <w:p w14:paraId="2A202E05">
            <w:pPr>
              <w:adjustRightInd w:val="0"/>
              <w:snapToGrid w:val="0"/>
              <w:spacing w:before="0" w:beforeAutospacing="0" w:after="0" w:afterAutospacing="0"/>
              <w:ind w:left="0" w:right="0"/>
              <w:jc w:val="center"/>
              <w:rPr>
                <w:rFonts w:hint="default"/>
                <w:color w:val="auto"/>
                <w:kern w:val="0"/>
                <w:szCs w:val="21"/>
              </w:rPr>
            </w:pPr>
          </w:p>
        </w:tc>
        <w:tc>
          <w:tcPr>
            <w:tcW w:w="655" w:type="dxa"/>
            <w:tcBorders>
              <w:top w:val="single" w:color="auto" w:sz="4" w:space="0"/>
              <w:left w:val="nil"/>
              <w:bottom w:val="single" w:color="auto" w:sz="4" w:space="0"/>
              <w:right w:val="single" w:color="auto" w:sz="4" w:space="0"/>
            </w:tcBorders>
            <w:noWrap w:val="0"/>
            <w:vAlign w:val="center"/>
          </w:tcPr>
          <w:p w14:paraId="5339CD7C">
            <w:pPr>
              <w:adjustRightInd w:val="0"/>
              <w:snapToGrid w:val="0"/>
              <w:spacing w:before="0" w:beforeAutospacing="0" w:after="0" w:afterAutospacing="0"/>
              <w:ind w:left="0" w:right="0"/>
              <w:jc w:val="center"/>
              <w:rPr>
                <w:rFonts w:hint="default"/>
                <w:color w:val="auto"/>
                <w:kern w:val="0"/>
                <w:szCs w:val="21"/>
              </w:rPr>
            </w:pPr>
          </w:p>
        </w:tc>
      </w:tr>
    </w:tbl>
    <w:p w14:paraId="111F9B50">
      <w:pPr>
        <w:pStyle w:val="48"/>
        <w:adjustRightInd w:val="0"/>
        <w:snapToGrid w:val="0"/>
        <w:rPr>
          <w:color w:val="auto"/>
        </w:rPr>
      </w:pPr>
      <w:r>
        <w:rPr>
          <w:rFonts w:hint="eastAsia" w:ascii="宋体" w:hAnsi="宋体"/>
          <w:b/>
          <w:bCs/>
          <w:color w:val="auto"/>
        </w:rPr>
        <w:t>注：</w:t>
      </w:r>
      <w:r>
        <w:rPr>
          <w:color w:val="auto"/>
        </w:rPr>
        <w:t>1.</w:t>
      </w:r>
      <w:r>
        <w:rPr>
          <w:rFonts w:hint="eastAsia" w:ascii="宋体" w:hAnsi="宋体"/>
          <w:color w:val="auto"/>
        </w:rPr>
        <w:t>《规范》：指环境空气气态污染物（</w:t>
      </w:r>
      <w:r>
        <w:rPr>
          <w:color w:val="auto"/>
        </w:rPr>
        <w:t>SO</w:t>
      </w:r>
      <w:r>
        <w:rPr>
          <w:color w:val="auto"/>
          <w:vertAlign w:val="subscript"/>
        </w:rPr>
        <w:t>2</w:t>
      </w:r>
      <w:r>
        <w:rPr>
          <w:rFonts w:hint="eastAsia" w:ascii="宋体" w:hAnsi="宋体"/>
          <w:color w:val="auto"/>
        </w:rPr>
        <w:t>、</w:t>
      </w:r>
      <w:r>
        <w:rPr>
          <w:color w:val="auto"/>
        </w:rPr>
        <w:t>NO</w:t>
      </w:r>
      <w:r>
        <w:rPr>
          <w:color w:val="auto"/>
          <w:vertAlign w:val="subscript"/>
        </w:rPr>
        <w:t>2</w:t>
      </w:r>
      <w:r>
        <w:rPr>
          <w:rFonts w:hint="eastAsia" w:ascii="宋体" w:hAnsi="宋体"/>
          <w:color w:val="auto"/>
        </w:rPr>
        <w:t>、</w:t>
      </w:r>
      <w:r>
        <w:rPr>
          <w:color w:val="auto"/>
        </w:rPr>
        <w:t>O</w:t>
      </w:r>
      <w:r>
        <w:rPr>
          <w:color w:val="auto"/>
          <w:vertAlign w:val="subscript"/>
        </w:rPr>
        <w:t>3</w:t>
      </w:r>
      <w:r>
        <w:rPr>
          <w:rFonts w:hint="eastAsia" w:ascii="宋体" w:hAnsi="宋体"/>
          <w:color w:val="auto"/>
        </w:rPr>
        <w:t>、</w:t>
      </w:r>
      <w:r>
        <w:rPr>
          <w:color w:val="auto"/>
        </w:rPr>
        <w:t>CO</w:t>
      </w:r>
      <w:r>
        <w:rPr>
          <w:rFonts w:hint="eastAsia" w:ascii="宋体" w:hAnsi="宋体"/>
          <w:color w:val="auto"/>
        </w:rPr>
        <w:t>）连续自动监测系统技术要求及检测方法</w:t>
      </w:r>
      <w:r>
        <w:rPr>
          <w:color w:val="auto"/>
        </w:rPr>
        <w:t>(HJ 654-2013)</w:t>
      </w:r>
      <w:r>
        <w:rPr>
          <w:rFonts w:hint="eastAsia" w:ascii="宋体" w:hAnsi="宋体"/>
          <w:color w:val="auto"/>
        </w:rPr>
        <w:t>、环境空气气态污染物（</w:t>
      </w:r>
      <w:r>
        <w:rPr>
          <w:color w:val="auto"/>
        </w:rPr>
        <w:t>SO</w:t>
      </w:r>
      <w:r>
        <w:rPr>
          <w:color w:val="auto"/>
          <w:vertAlign w:val="subscript"/>
        </w:rPr>
        <w:t>2</w:t>
      </w:r>
      <w:r>
        <w:rPr>
          <w:rFonts w:hint="eastAsia" w:ascii="宋体" w:hAnsi="宋体"/>
          <w:color w:val="auto"/>
        </w:rPr>
        <w:t>、</w:t>
      </w:r>
      <w:r>
        <w:rPr>
          <w:color w:val="auto"/>
        </w:rPr>
        <w:t>NO</w:t>
      </w:r>
      <w:r>
        <w:rPr>
          <w:color w:val="auto"/>
          <w:vertAlign w:val="subscript"/>
        </w:rPr>
        <w:t>2</w:t>
      </w:r>
      <w:r>
        <w:rPr>
          <w:rFonts w:hint="eastAsia" w:ascii="宋体" w:hAnsi="宋体"/>
          <w:color w:val="auto"/>
        </w:rPr>
        <w:t>、</w:t>
      </w:r>
      <w:r>
        <w:rPr>
          <w:color w:val="auto"/>
        </w:rPr>
        <w:t>O</w:t>
      </w:r>
      <w:r>
        <w:rPr>
          <w:color w:val="auto"/>
          <w:vertAlign w:val="subscript"/>
        </w:rPr>
        <w:t>3</w:t>
      </w:r>
      <w:r>
        <w:rPr>
          <w:rFonts w:hint="eastAsia" w:ascii="宋体" w:hAnsi="宋体"/>
          <w:color w:val="auto"/>
        </w:rPr>
        <w:t>、</w:t>
      </w:r>
      <w:r>
        <w:rPr>
          <w:color w:val="auto"/>
        </w:rPr>
        <w:t>CO</w:t>
      </w:r>
      <w:r>
        <w:rPr>
          <w:rFonts w:hint="eastAsia" w:ascii="宋体" w:hAnsi="宋体"/>
          <w:color w:val="auto"/>
        </w:rPr>
        <w:t>）连续自动监测系统安装验收技术规范</w:t>
      </w:r>
      <w:r>
        <w:rPr>
          <w:color w:val="auto"/>
        </w:rPr>
        <w:t>(HJ 193-2013)</w:t>
      </w:r>
      <w:r>
        <w:rPr>
          <w:rFonts w:hint="eastAsia" w:ascii="宋体" w:hAnsi="宋体"/>
          <w:color w:val="auto"/>
        </w:rPr>
        <w:t>、环境空气颗粒物（</w:t>
      </w:r>
      <w:r>
        <w:rPr>
          <w:color w:val="auto"/>
        </w:rPr>
        <w:t>PM</w:t>
      </w:r>
      <w:r>
        <w:rPr>
          <w:color w:val="auto"/>
          <w:vertAlign w:val="subscript"/>
        </w:rPr>
        <w:t>10</w:t>
      </w:r>
      <w:r>
        <w:rPr>
          <w:rFonts w:hint="eastAsia" w:ascii="宋体" w:hAnsi="宋体"/>
          <w:color w:val="auto"/>
        </w:rPr>
        <w:t>和</w:t>
      </w:r>
      <w:r>
        <w:rPr>
          <w:color w:val="auto"/>
        </w:rPr>
        <w:t>PM</w:t>
      </w:r>
      <w:r>
        <w:rPr>
          <w:color w:val="auto"/>
          <w:vertAlign w:val="subscript"/>
        </w:rPr>
        <w:t>2.5</w:t>
      </w:r>
      <w:r>
        <w:rPr>
          <w:rFonts w:hint="eastAsia" w:ascii="宋体" w:hAnsi="宋体"/>
          <w:color w:val="auto"/>
        </w:rPr>
        <w:t>）连续自动监测系统技术要求及检测方法</w:t>
      </w:r>
      <w:r>
        <w:rPr>
          <w:color w:val="auto"/>
        </w:rPr>
        <w:t>(HJ 653-20</w:t>
      </w:r>
      <w:r>
        <w:rPr>
          <w:rFonts w:hint="eastAsia"/>
          <w:color w:val="auto"/>
          <w:lang w:val="en-US" w:eastAsia="zh-CN"/>
        </w:rPr>
        <w:t>21</w:t>
      </w:r>
      <w:r>
        <w:rPr>
          <w:color w:val="auto"/>
        </w:rPr>
        <w:t>)</w:t>
      </w:r>
      <w:r>
        <w:rPr>
          <w:rFonts w:hint="eastAsia" w:ascii="宋体" w:hAnsi="宋体"/>
          <w:color w:val="auto"/>
        </w:rPr>
        <w:t>、环境空气颗粒物（</w:t>
      </w:r>
      <w:r>
        <w:rPr>
          <w:color w:val="auto"/>
        </w:rPr>
        <w:t>PM</w:t>
      </w:r>
      <w:r>
        <w:rPr>
          <w:color w:val="auto"/>
          <w:vertAlign w:val="subscript"/>
        </w:rPr>
        <w:t>10</w:t>
      </w:r>
      <w:r>
        <w:rPr>
          <w:rFonts w:hint="eastAsia" w:ascii="宋体" w:hAnsi="宋体"/>
          <w:color w:val="auto"/>
        </w:rPr>
        <w:t>和</w:t>
      </w:r>
      <w:r>
        <w:rPr>
          <w:color w:val="auto"/>
        </w:rPr>
        <w:t>PM</w:t>
      </w:r>
      <w:r>
        <w:rPr>
          <w:color w:val="auto"/>
          <w:vertAlign w:val="subscript"/>
        </w:rPr>
        <w:t>2.5</w:t>
      </w:r>
      <w:r>
        <w:rPr>
          <w:rFonts w:hint="eastAsia" w:ascii="宋体" w:hAnsi="宋体"/>
          <w:color w:val="auto"/>
        </w:rPr>
        <w:t>）连续自动监测系统安装和验收技术规范</w:t>
      </w:r>
      <w:r>
        <w:rPr>
          <w:color w:val="auto"/>
        </w:rPr>
        <w:t>(HJ 655-2013)</w:t>
      </w:r>
      <w:r>
        <w:rPr>
          <w:rFonts w:hint="eastAsia" w:ascii="宋体" w:hAnsi="宋体"/>
          <w:color w:val="auto"/>
        </w:rPr>
        <w:t>等；</w:t>
      </w:r>
      <w:r>
        <w:rPr>
          <w:color w:val="auto"/>
        </w:rPr>
        <w:t>2.</w:t>
      </w:r>
      <w:r>
        <w:rPr>
          <w:rFonts w:hint="eastAsia" w:ascii="宋体" w:hAnsi="宋体"/>
          <w:color w:val="auto"/>
        </w:rPr>
        <w:t>《标准》：指《环境空气质量标准》（</w:t>
      </w:r>
      <w:r>
        <w:rPr>
          <w:color w:val="auto"/>
        </w:rPr>
        <w:t>GB3095-2012</w:t>
      </w:r>
      <w:r>
        <w:rPr>
          <w:rFonts w:hint="eastAsia" w:ascii="宋体" w:hAnsi="宋体"/>
          <w:color w:val="auto"/>
        </w:rPr>
        <w:t>）。</w:t>
      </w:r>
    </w:p>
    <w:p w14:paraId="03B10E32">
      <w:pPr>
        <w:rPr>
          <w:rFonts w:hint="eastAsia" w:ascii="宋体" w:hAnsi="宋体"/>
          <w:b/>
          <w:bCs/>
          <w:color w:val="auto"/>
        </w:rPr>
      </w:pPr>
    </w:p>
    <w:p w14:paraId="5BFC3F6E">
      <w:pPr>
        <w:rPr>
          <w:rFonts w:hint="eastAsia" w:ascii="宋体" w:hAnsi="宋体"/>
          <w:b/>
          <w:bCs/>
          <w:color w:val="auto"/>
        </w:rPr>
      </w:pPr>
    </w:p>
    <w:p w14:paraId="388CAAA4">
      <w:pPr>
        <w:rPr>
          <w:color w:val="auto"/>
        </w:rPr>
      </w:pPr>
      <w:r>
        <w:rPr>
          <w:rFonts w:hint="eastAsia" w:ascii="宋体" w:hAnsi="宋体"/>
          <w:b/>
          <w:bCs/>
          <w:color w:val="auto"/>
        </w:rPr>
        <w:t>检查日期</w:t>
      </w:r>
      <w:r>
        <w:rPr>
          <w:rFonts w:hint="eastAsia" w:ascii="宋体" w:hAnsi="宋体"/>
          <w:color w:val="auto"/>
        </w:rPr>
        <w:t>：</w:t>
      </w:r>
      <w:r>
        <w:rPr>
          <w:color w:val="auto"/>
          <w:u w:val="single"/>
        </w:rPr>
        <w:t xml:space="preserve">              </w:t>
      </w:r>
      <w:r>
        <w:rPr>
          <w:rFonts w:hint="eastAsia"/>
          <w:color w:val="auto"/>
          <w:u w:val="single"/>
          <w:lang w:val="en-US" w:eastAsia="zh-CN"/>
        </w:rPr>
        <w:t xml:space="preserve"> </w:t>
      </w:r>
      <w:r>
        <w:rPr>
          <w:color w:val="auto"/>
          <w:u w:val="single"/>
        </w:rPr>
        <w:t xml:space="preserve">   </w:t>
      </w:r>
      <w:r>
        <w:rPr>
          <w:color w:val="auto"/>
        </w:rPr>
        <w:t xml:space="preserve"> </w:t>
      </w:r>
      <w:r>
        <w:rPr>
          <w:rFonts w:hint="eastAsia" w:ascii="宋体" w:hAnsi="宋体"/>
          <w:b/>
          <w:bCs/>
          <w:color w:val="auto"/>
        </w:rPr>
        <w:t>检查人员</w:t>
      </w:r>
      <w:r>
        <w:rPr>
          <w:rFonts w:hint="eastAsia" w:ascii="宋体" w:hAnsi="宋体"/>
          <w:color w:val="auto"/>
        </w:rPr>
        <w:t>：</w:t>
      </w:r>
      <w:r>
        <w:rPr>
          <w:color w:val="auto"/>
          <w:u w:val="single"/>
        </w:rPr>
        <w:t xml:space="preserve">                     </w:t>
      </w:r>
      <w:r>
        <w:rPr>
          <w:rFonts w:hint="eastAsia"/>
          <w:color w:val="auto"/>
          <w:u w:val="single"/>
          <w:lang w:val="en-US" w:eastAsia="zh-CN"/>
        </w:rPr>
        <w:t xml:space="preserve"> </w:t>
      </w:r>
      <w:r>
        <w:rPr>
          <w:rFonts w:hint="eastAsia"/>
          <w:b/>
          <w:color w:val="auto"/>
        </w:rPr>
        <w:t>运维人员：</w:t>
      </w:r>
      <w:r>
        <w:rPr>
          <w:color w:val="auto"/>
          <w:u w:val="thick"/>
        </w:rPr>
        <w:t xml:space="preserve">                              </w:t>
      </w:r>
    </w:p>
    <w:p w14:paraId="5096207D">
      <w:pPr>
        <w:tabs>
          <w:tab w:val="left" w:pos="2280"/>
        </w:tabs>
        <w:spacing w:line="360" w:lineRule="auto"/>
        <w:ind w:right="45"/>
        <w:contextualSpacing/>
        <w:jc w:val="left"/>
        <w:rPr>
          <w:rFonts w:hint="eastAsia" w:ascii="黑体" w:hAnsi="黑体" w:eastAsia="黑体" w:cs="黑体"/>
          <w:color w:val="auto"/>
          <w:sz w:val="32"/>
          <w:szCs w:val="32"/>
          <w:lang w:val="en-US" w:eastAsia="zh-CN"/>
        </w:rPr>
      </w:pPr>
    </w:p>
    <w:p w14:paraId="5E93570F">
      <w:pPr>
        <w:spacing w:line="240" w:lineRule="auto"/>
        <w:ind w:right="0"/>
        <w:contextualSpacing w:val="0"/>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p w14:paraId="3A1C2DEE">
      <w:pPr>
        <w:tabs>
          <w:tab w:val="left" w:pos="2280"/>
        </w:tabs>
        <w:spacing w:line="360" w:lineRule="auto"/>
        <w:ind w:right="45"/>
        <w:contextualSpacing/>
        <w:jc w:val="left"/>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附表2</w:t>
      </w:r>
    </w:p>
    <w:p w14:paraId="58D4F85B">
      <w:pPr>
        <w:tabs>
          <w:tab w:val="left" w:pos="2280"/>
        </w:tabs>
        <w:spacing w:line="360" w:lineRule="auto"/>
        <w:ind w:right="45"/>
        <w:contextualSpacing/>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区控环境空气自动监测质量现场检查</w:t>
      </w:r>
      <w:r>
        <w:rPr>
          <w:rFonts w:hint="eastAsia" w:ascii="方正小标宋简体" w:hAnsi="方正小标宋简体" w:eastAsia="方正小标宋简体" w:cs="方正小标宋简体"/>
          <w:color w:val="auto"/>
          <w:sz w:val="32"/>
          <w:szCs w:val="32"/>
          <w:lang w:val="en-US" w:eastAsia="zh-CN"/>
        </w:rPr>
        <w:t>季度</w:t>
      </w:r>
      <w:r>
        <w:rPr>
          <w:rFonts w:hint="eastAsia" w:ascii="方正小标宋简体" w:hAnsi="方正小标宋简体" w:eastAsia="方正小标宋简体" w:cs="方正小标宋简体"/>
          <w:color w:val="auto"/>
          <w:sz w:val="32"/>
          <w:szCs w:val="32"/>
        </w:rPr>
        <w:t>评分表（非甲烷总烃）</w:t>
      </w:r>
    </w:p>
    <w:p w14:paraId="2B8639A2">
      <w:pPr>
        <w:snapToGrid w:val="0"/>
        <w:spacing w:before="156" w:after="156" w:line="360" w:lineRule="auto"/>
        <w:jc w:val="left"/>
        <w:rPr>
          <w:b/>
          <w:bCs/>
          <w:color w:val="auto"/>
        </w:rPr>
      </w:pPr>
      <w:r>
        <w:rPr>
          <w:rFonts w:hint="eastAsia" w:ascii="宋体" w:hAnsi="宋体"/>
          <w:b/>
          <w:bCs/>
          <w:color w:val="auto"/>
          <w:kern w:val="0"/>
        </w:rPr>
        <w:t>站点所在地</w:t>
      </w:r>
      <w:r>
        <w:rPr>
          <w:rFonts w:hint="eastAsia" w:ascii="宋体" w:hAnsi="宋体"/>
          <w:color w:val="auto"/>
          <w:kern w:val="0"/>
        </w:rPr>
        <w:t>：</w:t>
      </w:r>
      <w:r>
        <w:rPr>
          <w:rFonts w:hint="eastAsia" w:ascii="宋体" w:hAnsi="宋体"/>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ascii="宋体" w:hAnsi="宋体"/>
          <w:color w:val="auto"/>
          <w:kern w:val="0"/>
        </w:rPr>
        <w:t>市</w:t>
      </w:r>
      <w:r>
        <w:rPr>
          <w:color w:val="auto"/>
          <w:kern w:val="0"/>
        </w:rPr>
        <w:t xml:space="preserve">  </w:t>
      </w:r>
      <w:r>
        <w:rPr>
          <w:rFonts w:hint="eastAsia"/>
          <w:color w:val="auto"/>
          <w:kern w:val="0"/>
          <w:lang w:val="en-US" w:eastAsia="zh-CN"/>
        </w:rPr>
        <w:t xml:space="preserve"> </w:t>
      </w:r>
      <w:r>
        <w:rPr>
          <w:rFonts w:hint="eastAsia" w:ascii="宋体" w:hAnsi="宋体"/>
          <w:b/>
          <w:bCs/>
          <w:color w:val="auto"/>
          <w:kern w:val="0"/>
        </w:rPr>
        <w:t>子站名称：</w:t>
      </w:r>
      <w:r>
        <w:rPr>
          <w:rFonts w:hint="eastAsia" w:ascii="宋体" w:hAnsi="宋体"/>
          <w:b w:val="0"/>
          <w:bCs w:val="0"/>
          <w:color w:val="auto"/>
          <w:kern w:val="0"/>
          <w:u w:val="single"/>
          <w:lang w:val="en-US" w:eastAsia="zh-CN"/>
        </w:rPr>
        <w:t>新市环保局</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r>
        <w:rPr>
          <w:rFonts w:hint="eastAsia"/>
          <w:color w:val="auto"/>
          <w:kern w:val="0"/>
          <w:u w:val="single"/>
          <w:lang w:val="en-US" w:eastAsia="zh-CN"/>
        </w:rPr>
        <w:t xml:space="preserve">     </w:t>
      </w:r>
      <w:r>
        <w:rPr>
          <w:color w:val="auto"/>
          <w:kern w:val="0"/>
          <w:u w:val="single"/>
        </w:rPr>
        <w:t xml:space="preserve">   </w:t>
      </w:r>
    </w:p>
    <w:p w14:paraId="57F6127A">
      <w:pPr>
        <w:snapToGrid w:val="0"/>
        <w:spacing w:line="360" w:lineRule="auto"/>
        <w:rPr>
          <w:rFonts w:hint="default" w:eastAsia="宋体"/>
          <w:color w:val="auto"/>
          <w:kern w:val="0"/>
          <w:u w:val="single"/>
          <w:lang w:val="en-US" w:eastAsia="zh-CN"/>
        </w:rPr>
      </w:pPr>
      <w:r>
        <w:rPr>
          <w:rFonts w:hint="eastAsia" w:ascii="宋体" w:hAnsi="宋体"/>
          <w:b/>
          <w:bCs/>
          <w:color w:val="auto"/>
          <w:kern w:val="0"/>
        </w:rPr>
        <w:t>仪器型号</w:t>
      </w:r>
      <w:r>
        <w:rPr>
          <w:rFonts w:hint="eastAsia" w:ascii="宋体" w:hAnsi="宋体"/>
          <w:color w:val="auto"/>
          <w:kern w:val="0"/>
        </w:rPr>
        <w:t>：</w:t>
      </w:r>
      <w:r>
        <w:rPr>
          <w:rFonts w:hint="eastAsia"/>
          <w:color w:val="auto"/>
          <w:kern w:val="0"/>
          <w:u w:val="single"/>
        </w:rPr>
        <w:t xml:space="preserve"> </w:t>
      </w:r>
      <w:r>
        <w:rPr>
          <w:color w:val="auto"/>
          <w:kern w:val="0"/>
          <w:u w:val="single"/>
        </w:rPr>
        <w:t xml:space="preserve">                </w:t>
      </w:r>
      <w:r>
        <w:rPr>
          <w:rFonts w:hint="eastAsia"/>
          <w:color w:val="auto"/>
          <w:kern w:val="0"/>
          <w:u w:val="single"/>
          <w:lang w:val="en-US" w:eastAsia="zh-CN"/>
        </w:rPr>
        <w:t xml:space="preserve">         </w:t>
      </w:r>
      <w:r>
        <w:rPr>
          <w:rFonts w:hint="eastAsia"/>
          <w:color w:val="auto"/>
          <w:kern w:val="0"/>
          <w:u w:val="none"/>
          <w:lang w:val="en-US" w:eastAsia="zh-CN"/>
        </w:rPr>
        <w:t xml:space="preserve">  </w:t>
      </w:r>
      <w:r>
        <w:rPr>
          <w:rFonts w:hint="eastAsia"/>
          <w:b/>
          <w:bCs/>
          <w:color w:val="auto"/>
          <w:kern w:val="0"/>
          <w:u w:val="none"/>
          <w:lang w:val="en-US" w:eastAsia="zh-CN"/>
        </w:rPr>
        <w:t xml:space="preserve">考核时段： </w:t>
      </w:r>
      <w:r>
        <w:rPr>
          <w:rFonts w:hint="eastAsia"/>
          <w:b/>
          <w:bCs/>
          <w:color w:val="auto"/>
          <w:kern w:val="0"/>
          <w:u w:val="single"/>
          <w:lang w:val="en-US" w:eastAsia="zh-CN"/>
        </w:rPr>
        <w:t xml:space="preserve">                                       </w:t>
      </w:r>
      <w:r>
        <w:rPr>
          <w:rFonts w:hint="eastAsia"/>
          <w:b/>
          <w:bCs/>
          <w:color w:val="auto"/>
          <w:kern w:val="0"/>
          <w:u w:val="none"/>
          <w:lang w:val="en-US" w:eastAsia="zh-CN"/>
        </w:rPr>
        <w:t xml:space="preserve"> </w:t>
      </w:r>
    </w:p>
    <w:tbl>
      <w:tblPr>
        <w:tblStyle w:val="2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58"/>
        <w:gridCol w:w="4642"/>
        <w:gridCol w:w="1080"/>
        <w:gridCol w:w="1440"/>
        <w:gridCol w:w="720"/>
      </w:tblGrid>
      <w:tr w14:paraId="4F7C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790870D6">
            <w:pPr>
              <w:adjustRightInd w:val="0"/>
              <w:snapToGrid w:val="0"/>
              <w:spacing w:before="0" w:beforeAutospacing="0" w:after="0" w:afterAutospacing="0"/>
              <w:ind w:left="44" w:leftChars="20" w:right="0"/>
              <w:jc w:val="center"/>
              <w:rPr>
                <w:rFonts w:hint="default"/>
                <w:b/>
                <w:bCs/>
                <w:color w:val="auto"/>
                <w:szCs w:val="21"/>
              </w:rPr>
            </w:pPr>
            <w:r>
              <w:rPr>
                <w:rFonts w:hint="eastAsia"/>
                <w:b/>
                <w:bCs/>
                <w:color w:val="auto"/>
              </w:rPr>
              <w:t>检查内容</w:t>
            </w:r>
          </w:p>
        </w:tc>
        <w:tc>
          <w:tcPr>
            <w:tcW w:w="5400" w:type="dxa"/>
            <w:gridSpan w:val="2"/>
            <w:vAlign w:val="center"/>
          </w:tcPr>
          <w:p w14:paraId="5E6CB968">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检查要点</w:t>
            </w:r>
          </w:p>
        </w:tc>
        <w:tc>
          <w:tcPr>
            <w:tcW w:w="1080" w:type="dxa"/>
            <w:vAlign w:val="center"/>
          </w:tcPr>
          <w:p w14:paraId="0E477CEC">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单项分值</w:t>
            </w:r>
          </w:p>
        </w:tc>
        <w:tc>
          <w:tcPr>
            <w:tcW w:w="1440" w:type="dxa"/>
            <w:vAlign w:val="center"/>
          </w:tcPr>
          <w:p w14:paraId="33D29841">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评分说明</w:t>
            </w:r>
          </w:p>
        </w:tc>
        <w:tc>
          <w:tcPr>
            <w:tcW w:w="720" w:type="dxa"/>
            <w:vAlign w:val="center"/>
          </w:tcPr>
          <w:p w14:paraId="366F5B72">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得分</w:t>
            </w:r>
          </w:p>
        </w:tc>
      </w:tr>
      <w:tr w14:paraId="3AC8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14:paraId="4A160402">
            <w:pPr>
              <w:adjustRightInd w:val="0"/>
              <w:snapToGrid w:val="0"/>
              <w:spacing w:before="0" w:beforeAutospacing="0" w:after="0" w:afterAutospacing="0"/>
              <w:ind w:left="0" w:right="0"/>
              <w:jc w:val="center"/>
              <w:rPr>
                <w:rFonts w:hint="default"/>
                <w:b/>
                <w:bCs/>
                <w:color w:val="auto"/>
                <w:szCs w:val="21"/>
              </w:rPr>
            </w:pPr>
            <w:r>
              <w:rPr>
                <w:rFonts w:hint="default"/>
                <w:b/>
                <w:bCs/>
                <w:color w:val="auto"/>
              </w:rPr>
              <w:t>1.</w:t>
            </w:r>
            <w:r>
              <w:rPr>
                <w:rFonts w:hint="eastAsia"/>
                <w:b/>
                <w:bCs/>
                <w:color w:val="auto"/>
              </w:rPr>
              <w:t>站房及采样系统情况</w:t>
            </w:r>
          </w:p>
          <w:p w14:paraId="3214625F">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w:t>
            </w:r>
            <w:r>
              <w:rPr>
                <w:rFonts w:hint="eastAsia"/>
                <w:b/>
                <w:bCs/>
                <w:color w:val="auto"/>
                <w:lang w:val="en-US" w:eastAsia="zh-CN"/>
              </w:rPr>
              <w:t>14.5</w:t>
            </w:r>
            <w:r>
              <w:rPr>
                <w:rFonts w:hint="eastAsia"/>
                <w:b/>
                <w:bCs/>
                <w:color w:val="auto"/>
              </w:rPr>
              <w:t>分）</w:t>
            </w:r>
          </w:p>
        </w:tc>
        <w:tc>
          <w:tcPr>
            <w:tcW w:w="5400" w:type="dxa"/>
            <w:gridSpan w:val="2"/>
            <w:vAlign w:val="center"/>
          </w:tcPr>
          <w:p w14:paraId="78F133D4">
            <w:pPr>
              <w:adjustRightInd w:val="0"/>
              <w:snapToGrid w:val="0"/>
              <w:spacing w:before="0" w:beforeAutospacing="0" w:after="0" w:afterAutospacing="0"/>
              <w:ind w:left="0" w:right="0"/>
              <w:jc w:val="left"/>
              <w:rPr>
                <w:rFonts w:hint="default"/>
                <w:color w:val="auto"/>
                <w:szCs w:val="21"/>
              </w:rPr>
            </w:pPr>
            <w:r>
              <w:rPr>
                <w:rFonts w:hint="eastAsia"/>
                <w:color w:val="auto"/>
              </w:rPr>
              <w:t>站房温度</w:t>
            </w:r>
            <w:r>
              <w:rPr>
                <w:rFonts w:hint="default"/>
                <w:color w:val="auto"/>
              </w:rPr>
              <w:softHyphen/>
            </w:r>
            <w:r>
              <w:rPr>
                <w:rFonts w:hint="default"/>
                <w:color w:val="auto"/>
              </w:rPr>
              <w:softHyphen/>
            </w:r>
            <w:r>
              <w:rPr>
                <w:rFonts w:hint="default"/>
                <w:color w:val="auto"/>
              </w:rPr>
              <w:softHyphen/>
            </w:r>
            <w:r>
              <w:rPr>
                <w:rFonts w:hint="default"/>
                <w:color w:val="auto"/>
              </w:rPr>
              <w:softHyphen/>
            </w:r>
            <w:r>
              <w:rPr>
                <w:rFonts w:hint="default"/>
                <w:color w:val="auto"/>
              </w:rPr>
              <w:t>__________</w:t>
            </w:r>
            <w:r>
              <w:rPr>
                <w:rFonts w:hint="eastAsia"/>
                <w:color w:val="auto"/>
              </w:rPr>
              <w:t>（</w:t>
            </w:r>
            <w:r>
              <w:rPr>
                <w:rFonts w:hint="default"/>
                <w:color w:val="auto"/>
              </w:rPr>
              <w:t>15</w:t>
            </w:r>
            <w:r>
              <w:rPr>
                <w:rFonts w:hint="eastAsia"/>
                <w:color w:val="auto"/>
              </w:rPr>
              <w:t>-35℃）</w:t>
            </w:r>
            <w:r>
              <w:rPr>
                <w:rFonts w:hint="default"/>
                <w:color w:val="auto"/>
              </w:rPr>
              <w:t xml:space="preserve"> </w:t>
            </w:r>
          </w:p>
        </w:tc>
        <w:tc>
          <w:tcPr>
            <w:tcW w:w="1080" w:type="dxa"/>
            <w:vAlign w:val="center"/>
          </w:tcPr>
          <w:p w14:paraId="35AF9E03">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60D81411">
            <w:pPr>
              <w:adjustRightInd w:val="0"/>
              <w:snapToGrid w:val="0"/>
              <w:spacing w:before="0" w:beforeAutospacing="0" w:after="0" w:afterAutospacing="0"/>
              <w:ind w:left="0" w:right="0"/>
              <w:jc w:val="center"/>
              <w:rPr>
                <w:rFonts w:hint="default"/>
                <w:color w:val="auto"/>
                <w:szCs w:val="21"/>
              </w:rPr>
            </w:pPr>
          </w:p>
        </w:tc>
        <w:tc>
          <w:tcPr>
            <w:tcW w:w="720" w:type="dxa"/>
            <w:vAlign w:val="center"/>
          </w:tcPr>
          <w:p w14:paraId="5C66A866">
            <w:pPr>
              <w:adjustRightInd w:val="0"/>
              <w:snapToGrid w:val="0"/>
              <w:spacing w:before="0" w:beforeAutospacing="0" w:after="0" w:afterAutospacing="0"/>
              <w:ind w:left="0" w:right="0"/>
              <w:jc w:val="center"/>
              <w:rPr>
                <w:rFonts w:hint="default"/>
                <w:color w:val="auto"/>
                <w:szCs w:val="21"/>
              </w:rPr>
            </w:pPr>
          </w:p>
        </w:tc>
      </w:tr>
      <w:tr w14:paraId="63EF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0798043E">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639E150D">
            <w:pPr>
              <w:adjustRightInd w:val="0"/>
              <w:snapToGrid w:val="0"/>
              <w:spacing w:before="0" w:beforeAutospacing="0" w:after="0" w:afterAutospacing="0"/>
              <w:ind w:left="0" w:right="0"/>
              <w:jc w:val="left"/>
              <w:rPr>
                <w:rFonts w:hint="default"/>
                <w:color w:val="auto"/>
                <w:szCs w:val="21"/>
              </w:rPr>
            </w:pPr>
            <w:r>
              <w:rPr>
                <w:rFonts w:hint="eastAsia"/>
                <w:color w:val="auto"/>
              </w:rPr>
              <w:t>相对湿度</w:t>
            </w:r>
            <w:r>
              <w:rPr>
                <w:rFonts w:hint="default"/>
                <w:color w:val="auto"/>
              </w:rPr>
              <w:t>__________</w:t>
            </w:r>
            <w:r>
              <w:rPr>
                <w:rFonts w:hint="eastAsia"/>
                <w:color w:val="auto"/>
              </w:rPr>
              <w:t>（</w:t>
            </w:r>
            <w:r>
              <w:rPr>
                <w:rFonts w:hint="default"/>
                <w:color w:val="auto"/>
              </w:rPr>
              <w:t>80%</w:t>
            </w:r>
            <w:r>
              <w:rPr>
                <w:rFonts w:hint="eastAsia"/>
                <w:color w:val="auto"/>
              </w:rPr>
              <w:t>以下）</w:t>
            </w:r>
          </w:p>
        </w:tc>
        <w:tc>
          <w:tcPr>
            <w:tcW w:w="1080" w:type="dxa"/>
            <w:vAlign w:val="center"/>
          </w:tcPr>
          <w:p w14:paraId="71204AC9">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344D7175">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6A1A8A71">
            <w:pPr>
              <w:adjustRightInd w:val="0"/>
              <w:snapToGrid w:val="0"/>
              <w:spacing w:before="0" w:beforeAutospacing="0" w:after="0" w:afterAutospacing="0"/>
              <w:ind w:left="0" w:right="0"/>
              <w:jc w:val="left"/>
              <w:rPr>
                <w:rFonts w:hint="default"/>
                <w:color w:val="auto"/>
                <w:szCs w:val="21"/>
              </w:rPr>
            </w:pPr>
          </w:p>
        </w:tc>
      </w:tr>
      <w:tr w14:paraId="6853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52EDE779">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0027AE06">
            <w:pPr>
              <w:adjustRightInd w:val="0"/>
              <w:snapToGrid w:val="0"/>
              <w:spacing w:before="0" w:beforeAutospacing="0" w:after="0" w:afterAutospacing="0"/>
              <w:ind w:left="0" w:right="0"/>
              <w:jc w:val="left"/>
              <w:rPr>
                <w:rFonts w:hint="default"/>
                <w:color w:val="auto"/>
                <w:szCs w:val="21"/>
              </w:rPr>
            </w:pPr>
            <w:r>
              <w:rPr>
                <w:rFonts w:hint="eastAsia"/>
                <w:color w:val="auto"/>
              </w:rPr>
              <w:t>站房是否漏雨</w:t>
            </w:r>
          </w:p>
        </w:tc>
        <w:tc>
          <w:tcPr>
            <w:tcW w:w="1080" w:type="dxa"/>
            <w:vAlign w:val="center"/>
          </w:tcPr>
          <w:p w14:paraId="71DD6D2D">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715193B6">
            <w:pPr>
              <w:adjustRightInd w:val="0"/>
              <w:snapToGrid w:val="0"/>
              <w:spacing w:before="0" w:beforeAutospacing="0" w:after="0" w:afterAutospacing="0"/>
              <w:ind w:left="0" w:right="0"/>
              <w:jc w:val="center"/>
              <w:rPr>
                <w:rFonts w:hint="default"/>
                <w:color w:val="auto"/>
                <w:szCs w:val="21"/>
              </w:rPr>
            </w:pPr>
          </w:p>
        </w:tc>
        <w:tc>
          <w:tcPr>
            <w:tcW w:w="720" w:type="dxa"/>
            <w:vAlign w:val="center"/>
          </w:tcPr>
          <w:p w14:paraId="73E3D685">
            <w:pPr>
              <w:adjustRightInd w:val="0"/>
              <w:snapToGrid w:val="0"/>
              <w:spacing w:before="0" w:beforeAutospacing="0" w:after="0" w:afterAutospacing="0"/>
              <w:ind w:left="0" w:right="0"/>
              <w:jc w:val="center"/>
              <w:rPr>
                <w:rFonts w:hint="default"/>
                <w:color w:val="auto"/>
                <w:szCs w:val="21"/>
              </w:rPr>
            </w:pPr>
          </w:p>
        </w:tc>
      </w:tr>
      <w:tr w14:paraId="32AE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63C088DE">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31787E49">
            <w:pPr>
              <w:adjustRightInd w:val="0"/>
              <w:snapToGrid w:val="0"/>
              <w:spacing w:before="0" w:beforeAutospacing="0" w:after="0" w:afterAutospacing="0"/>
              <w:ind w:left="0" w:right="0"/>
              <w:jc w:val="left"/>
              <w:rPr>
                <w:rFonts w:hint="default"/>
                <w:color w:val="auto"/>
                <w:szCs w:val="21"/>
              </w:rPr>
            </w:pPr>
            <w:r>
              <w:rPr>
                <w:rFonts w:hint="eastAsia"/>
                <w:color w:val="auto"/>
              </w:rPr>
              <w:t>是否有避雷针接地、电源防雷、网络防雷。避雷针是否有检定证书</w:t>
            </w:r>
          </w:p>
        </w:tc>
        <w:tc>
          <w:tcPr>
            <w:tcW w:w="1080" w:type="dxa"/>
            <w:vAlign w:val="center"/>
          </w:tcPr>
          <w:p w14:paraId="6EBFFA1E">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20136F60">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0AC4C39D">
            <w:pPr>
              <w:adjustRightInd w:val="0"/>
              <w:snapToGrid w:val="0"/>
              <w:spacing w:before="0" w:beforeAutospacing="0" w:after="0" w:afterAutospacing="0"/>
              <w:ind w:left="0" w:right="0"/>
              <w:jc w:val="left"/>
              <w:rPr>
                <w:rFonts w:hint="default"/>
                <w:color w:val="auto"/>
                <w:szCs w:val="21"/>
              </w:rPr>
            </w:pPr>
          </w:p>
        </w:tc>
      </w:tr>
      <w:tr w14:paraId="3ADB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502DB1C8">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2ECF1756">
            <w:pPr>
              <w:adjustRightInd w:val="0"/>
              <w:snapToGrid w:val="0"/>
              <w:spacing w:before="0" w:beforeAutospacing="0" w:after="0" w:afterAutospacing="0"/>
              <w:ind w:left="0" w:right="0"/>
              <w:jc w:val="left"/>
              <w:rPr>
                <w:rFonts w:hint="default"/>
                <w:color w:val="auto"/>
                <w:szCs w:val="21"/>
              </w:rPr>
            </w:pPr>
            <w:r>
              <w:rPr>
                <w:rFonts w:hint="eastAsia"/>
                <w:color w:val="auto"/>
              </w:rPr>
              <w:t>防火器材是否在有效期内</w:t>
            </w:r>
          </w:p>
        </w:tc>
        <w:tc>
          <w:tcPr>
            <w:tcW w:w="1080" w:type="dxa"/>
            <w:vAlign w:val="center"/>
          </w:tcPr>
          <w:p w14:paraId="405B577F">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15BE08FA">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380FD5F8">
            <w:pPr>
              <w:adjustRightInd w:val="0"/>
              <w:snapToGrid w:val="0"/>
              <w:spacing w:before="0" w:beforeAutospacing="0" w:after="0" w:afterAutospacing="0"/>
              <w:ind w:left="0" w:right="0"/>
              <w:jc w:val="left"/>
              <w:rPr>
                <w:rFonts w:hint="default"/>
                <w:color w:val="auto"/>
                <w:szCs w:val="21"/>
              </w:rPr>
            </w:pPr>
          </w:p>
        </w:tc>
      </w:tr>
      <w:tr w14:paraId="3EE8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016925A2">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1E7FDD53">
            <w:pPr>
              <w:adjustRightInd w:val="0"/>
              <w:snapToGrid w:val="0"/>
              <w:spacing w:before="0" w:beforeAutospacing="0" w:after="0" w:afterAutospacing="0"/>
              <w:ind w:left="0" w:right="0"/>
              <w:jc w:val="left"/>
              <w:rPr>
                <w:rFonts w:hint="default"/>
                <w:color w:val="auto"/>
                <w:szCs w:val="21"/>
              </w:rPr>
            </w:pPr>
            <w:r>
              <w:rPr>
                <w:rFonts w:hint="eastAsia"/>
                <w:color w:val="auto"/>
              </w:rPr>
              <w:t>站房内其他辅助设施（排风扇、空调、照明、工具箱）是否正常</w:t>
            </w:r>
          </w:p>
        </w:tc>
        <w:tc>
          <w:tcPr>
            <w:tcW w:w="1080" w:type="dxa"/>
            <w:vAlign w:val="center"/>
          </w:tcPr>
          <w:p w14:paraId="57385A54">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1</w:t>
            </w:r>
          </w:p>
        </w:tc>
        <w:tc>
          <w:tcPr>
            <w:tcW w:w="1440" w:type="dxa"/>
            <w:vAlign w:val="center"/>
          </w:tcPr>
          <w:p w14:paraId="77464EEA">
            <w:pPr>
              <w:adjustRightInd w:val="0"/>
              <w:snapToGrid w:val="0"/>
              <w:spacing w:before="0" w:beforeAutospacing="0" w:after="0" w:afterAutospacing="0"/>
              <w:ind w:left="0" w:right="0"/>
              <w:jc w:val="left"/>
              <w:rPr>
                <w:rFonts w:hint="default"/>
                <w:color w:val="auto"/>
                <w:szCs w:val="21"/>
              </w:rPr>
            </w:pPr>
            <w:r>
              <w:rPr>
                <w:rFonts w:hint="eastAsia"/>
                <w:color w:val="auto"/>
              </w:rPr>
              <w:t>缺失一项扣</w:t>
            </w:r>
            <w:r>
              <w:rPr>
                <w:rFonts w:hint="eastAsia"/>
                <w:color w:val="auto"/>
                <w:lang w:val="en-US" w:eastAsia="zh-CN"/>
              </w:rPr>
              <w:t>1</w:t>
            </w:r>
            <w:r>
              <w:rPr>
                <w:rFonts w:hint="eastAsia" w:ascii="宋体" w:hAnsi="宋体"/>
                <w:color w:val="auto"/>
              </w:rPr>
              <w:t>分</w:t>
            </w:r>
          </w:p>
        </w:tc>
        <w:tc>
          <w:tcPr>
            <w:tcW w:w="720" w:type="dxa"/>
            <w:vAlign w:val="center"/>
          </w:tcPr>
          <w:p w14:paraId="02C4CFFF">
            <w:pPr>
              <w:adjustRightInd w:val="0"/>
              <w:snapToGrid w:val="0"/>
              <w:spacing w:before="0" w:beforeAutospacing="0" w:after="0" w:afterAutospacing="0"/>
              <w:ind w:left="0" w:right="0"/>
              <w:jc w:val="left"/>
              <w:rPr>
                <w:rFonts w:hint="default"/>
                <w:color w:val="auto"/>
                <w:szCs w:val="21"/>
              </w:rPr>
            </w:pPr>
          </w:p>
        </w:tc>
      </w:tr>
      <w:tr w14:paraId="50C7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6BDD2452">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1847F81A">
            <w:pPr>
              <w:adjustRightInd w:val="0"/>
              <w:snapToGrid w:val="0"/>
              <w:spacing w:before="0" w:beforeAutospacing="0" w:after="0" w:afterAutospacing="0"/>
              <w:ind w:left="0" w:right="0"/>
              <w:jc w:val="left"/>
              <w:rPr>
                <w:rFonts w:hint="default"/>
                <w:color w:val="auto"/>
                <w:szCs w:val="21"/>
              </w:rPr>
            </w:pPr>
            <w:r>
              <w:rPr>
                <w:rFonts w:hint="eastAsia"/>
                <w:color w:val="auto"/>
              </w:rPr>
              <w:t>站房内线路整洁及卫生情况</w:t>
            </w:r>
          </w:p>
        </w:tc>
        <w:tc>
          <w:tcPr>
            <w:tcW w:w="1080" w:type="dxa"/>
            <w:vAlign w:val="center"/>
          </w:tcPr>
          <w:p w14:paraId="6562BCCF">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lang w:val="en-US" w:eastAsia="zh-CN"/>
              </w:rPr>
              <w:t>1.5</w:t>
            </w:r>
          </w:p>
        </w:tc>
        <w:tc>
          <w:tcPr>
            <w:tcW w:w="1440" w:type="dxa"/>
            <w:vAlign w:val="center"/>
          </w:tcPr>
          <w:p w14:paraId="5779FC60">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32C8D35E">
            <w:pPr>
              <w:adjustRightInd w:val="0"/>
              <w:snapToGrid w:val="0"/>
              <w:spacing w:before="0" w:beforeAutospacing="0" w:after="0" w:afterAutospacing="0"/>
              <w:ind w:left="0" w:right="0"/>
              <w:jc w:val="left"/>
              <w:rPr>
                <w:rFonts w:hint="default"/>
                <w:color w:val="auto"/>
                <w:szCs w:val="21"/>
              </w:rPr>
            </w:pPr>
          </w:p>
        </w:tc>
      </w:tr>
      <w:tr w14:paraId="4E0B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6AC1E71D">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348D13A1">
            <w:pPr>
              <w:adjustRightInd w:val="0"/>
              <w:snapToGrid w:val="0"/>
              <w:spacing w:before="0" w:beforeAutospacing="0" w:after="0" w:afterAutospacing="0"/>
              <w:ind w:left="0" w:right="0"/>
              <w:jc w:val="left"/>
              <w:rPr>
                <w:rFonts w:hint="default"/>
                <w:color w:val="auto"/>
                <w:szCs w:val="21"/>
              </w:rPr>
            </w:pPr>
            <w:r>
              <w:rPr>
                <w:rFonts w:hint="eastAsia"/>
                <w:color w:val="auto"/>
                <w:kern w:val="0"/>
              </w:rPr>
              <w:t>采样系统清洁程度（采样总管、支管）</w:t>
            </w:r>
          </w:p>
        </w:tc>
        <w:tc>
          <w:tcPr>
            <w:tcW w:w="1080" w:type="dxa"/>
            <w:vAlign w:val="center"/>
          </w:tcPr>
          <w:p w14:paraId="08EE32F1">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440" w:type="dxa"/>
            <w:vAlign w:val="center"/>
          </w:tcPr>
          <w:p w14:paraId="52EB6468">
            <w:pPr>
              <w:adjustRightInd w:val="0"/>
              <w:snapToGrid w:val="0"/>
              <w:spacing w:before="0" w:beforeAutospacing="0" w:after="0" w:afterAutospacing="0"/>
              <w:ind w:left="0" w:right="0"/>
              <w:jc w:val="left"/>
              <w:rPr>
                <w:rFonts w:hint="default"/>
                <w:color w:val="auto"/>
                <w:szCs w:val="21"/>
              </w:rPr>
            </w:pPr>
            <w:r>
              <w:rPr>
                <w:rFonts w:hint="eastAsia"/>
                <w:color w:val="auto"/>
              </w:rPr>
              <w:t>有一项不清洁扣</w:t>
            </w:r>
            <w:r>
              <w:rPr>
                <w:rFonts w:hint="eastAsia"/>
                <w:color w:val="auto"/>
                <w:lang w:val="en-US" w:eastAsia="zh-CN"/>
              </w:rPr>
              <w:t>2</w:t>
            </w:r>
            <w:r>
              <w:rPr>
                <w:rFonts w:hint="eastAsia" w:ascii="宋体" w:hAnsi="宋体"/>
                <w:color w:val="auto"/>
              </w:rPr>
              <w:t>分</w:t>
            </w:r>
          </w:p>
        </w:tc>
        <w:tc>
          <w:tcPr>
            <w:tcW w:w="720" w:type="dxa"/>
            <w:vAlign w:val="center"/>
          </w:tcPr>
          <w:p w14:paraId="3C3C8FC2">
            <w:pPr>
              <w:adjustRightInd w:val="0"/>
              <w:snapToGrid w:val="0"/>
              <w:spacing w:before="0" w:beforeAutospacing="0" w:after="0" w:afterAutospacing="0"/>
              <w:ind w:left="0" w:right="0"/>
              <w:jc w:val="left"/>
              <w:rPr>
                <w:rFonts w:hint="default"/>
                <w:color w:val="auto"/>
                <w:szCs w:val="21"/>
              </w:rPr>
            </w:pPr>
          </w:p>
        </w:tc>
      </w:tr>
      <w:tr w14:paraId="23F7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52EBA71D">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5C17E256">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采样风机是否正常工作</w:t>
            </w:r>
          </w:p>
        </w:tc>
        <w:tc>
          <w:tcPr>
            <w:tcW w:w="1080" w:type="dxa"/>
            <w:vAlign w:val="center"/>
          </w:tcPr>
          <w:p w14:paraId="0514BEB4">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kern w:val="0"/>
                <w:lang w:val="en-US" w:eastAsia="zh-CN"/>
              </w:rPr>
              <w:t>1.5</w:t>
            </w:r>
          </w:p>
        </w:tc>
        <w:tc>
          <w:tcPr>
            <w:tcW w:w="1440" w:type="dxa"/>
            <w:vAlign w:val="center"/>
          </w:tcPr>
          <w:p w14:paraId="7544F91D">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24C29A50">
            <w:pPr>
              <w:adjustRightInd w:val="0"/>
              <w:snapToGrid w:val="0"/>
              <w:spacing w:before="0" w:beforeAutospacing="0" w:after="0" w:afterAutospacing="0"/>
              <w:ind w:left="0" w:right="0"/>
              <w:jc w:val="left"/>
              <w:rPr>
                <w:rFonts w:hint="default"/>
                <w:color w:val="auto"/>
                <w:szCs w:val="21"/>
              </w:rPr>
            </w:pPr>
          </w:p>
        </w:tc>
      </w:tr>
      <w:tr w14:paraId="5EBA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4BE5B4A8">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6A741835">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气态污染物采样总管加热温度是否在</w:t>
            </w:r>
            <w:r>
              <w:rPr>
                <w:rFonts w:hint="default"/>
                <w:color w:val="auto"/>
                <w:kern w:val="0"/>
              </w:rPr>
              <w:softHyphen/>
            </w:r>
            <w:r>
              <w:rPr>
                <w:rFonts w:hint="default"/>
                <w:color w:val="auto"/>
                <w:kern w:val="0"/>
              </w:rPr>
              <w:softHyphen/>
            </w:r>
            <w:r>
              <w:rPr>
                <w:rFonts w:hint="default"/>
                <w:color w:val="auto"/>
                <w:kern w:val="0"/>
              </w:rPr>
              <w:t>30</w:t>
            </w:r>
            <w:r>
              <w:rPr>
                <w:rFonts w:hint="eastAsia"/>
                <w:color w:val="auto"/>
                <w:kern w:val="0"/>
              </w:rPr>
              <w:t>～</w:t>
            </w:r>
            <w:r>
              <w:rPr>
                <w:rFonts w:hint="default"/>
                <w:color w:val="auto"/>
                <w:kern w:val="0"/>
              </w:rPr>
              <w:t>50</w:t>
            </w:r>
            <w:r>
              <w:rPr>
                <w:rFonts w:hint="eastAsia"/>
                <w:color w:val="auto"/>
                <w:kern w:val="0"/>
              </w:rPr>
              <w:t>℃，是否避免被空调直吹</w:t>
            </w:r>
          </w:p>
        </w:tc>
        <w:tc>
          <w:tcPr>
            <w:tcW w:w="1080" w:type="dxa"/>
            <w:vAlign w:val="center"/>
          </w:tcPr>
          <w:p w14:paraId="4ADFD53E">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lang w:val="en-US" w:eastAsia="zh-CN"/>
              </w:rPr>
              <w:t>1.5</w:t>
            </w:r>
          </w:p>
        </w:tc>
        <w:tc>
          <w:tcPr>
            <w:tcW w:w="1440" w:type="dxa"/>
            <w:vAlign w:val="center"/>
          </w:tcPr>
          <w:p w14:paraId="0FAADBC5">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163D18D9">
            <w:pPr>
              <w:adjustRightInd w:val="0"/>
              <w:snapToGrid w:val="0"/>
              <w:spacing w:before="0" w:beforeAutospacing="0" w:after="0" w:afterAutospacing="0"/>
              <w:ind w:left="0" w:right="0"/>
              <w:jc w:val="left"/>
              <w:rPr>
                <w:rFonts w:hint="default"/>
                <w:color w:val="auto"/>
                <w:szCs w:val="21"/>
              </w:rPr>
            </w:pPr>
          </w:p>
        </w:tc>
      </w:tr>
      <w:tr w14:paraId="6B01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290CA536">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0F0BAE50">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各通道参数（斜率、截距、量程等）的设置是否正确</w:t>
            </w:r>
          </w:p>
        </w:tc>
        <w:tc>
          <w:tcPr>
            <w:tcW w:w="1080" w:type="dxa"/>
            <w:vAlign w:val="center"/>
          </w:tcPr>
          <w:p w14:paraId="3989D179">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2</w:t>
            </w:r>
          </w:p>
        </w:tc>
        <w:tc>
          <w:tcPr>
            <w:tcW w:w="1440" w:type="dxa"/>
            <w:vAlign w:val="center"/>
          </w:tcPr>
          <w:p w14:paraId="4C4FC122">
            <w:pPr>
              <w:adjustRightInd w:val="0"/>
              <w:snapToGrid w:val="0"/>
              <w:spacing w:before="0" w:beforeAutospacing="0" w:after="0" w:afterAutospacing="0"/>
              <w:ind w:left="0" w:right="0"/>
              <w:jc w:val="left"/>
              <w:rPr>
                <w:rFonts w:hint="default"/>
                <w:color w:val="auto"/>
                <w:szCs w:val="21"/>
              </w:rPr>
            </w:pPr>
            <w:r>
              <w:rPr>
                <w:rFonts w:hint="eastAsia"/>
                <w:color w:val="auto"/>
              </w:rPr>
              <w:t>有一项设置不正确扣</w:t>
            </w:r>
            <w:r>
              <w:rPr>
                <w:rFonts w:hint="eastAsia"/>
                <w:color w:val="auto"/>
                <w:lang w:val="en-US" w:eastAsia="zh-CN"/>
              </w:rPr>
              <w:t>2</w:t>
            </w:r>
            <w:r>
              <w:rPr>
                <w:rFonts w:hint="eastAsia" w:ascii="宋体" w:hAnsi="宋体"/>
                <w:color w:val="auto"/>
              </w:rPr>
              <w:t>分</w:t>
            </w:r>
          </w:p>
        </w:tc>
        <w:tc>
          <w:tcPr>
            <w:tcW w:w="720" w:type="dxa"/>
            <w:vAlign w:val="center"/>
          </w:tcPr>
          <w:p w14:paraId="46B2718B">
            <w:pPr>
              <w:adjustRightInd w:val="0"/>
              <w:snapToGrid w:val="0"/>
              <w:spacing w:before="0" w:beforeAutospacing="0" w:after="0" w:afterAutospacing="0"/>
              <w:ind w:left="0" w:right="0"/>
              <w:jc w:val="left"/>
              <w:rPr>
                <w:rFonts w:hint="default"/>
                <w:color w:val="auto"/>
                <w:szCs w:val="21"/>
              </w:rPr>
            </w:pPr>
          </w:p>
        </w:tc>
      </w:tr>
      <w:tr w14:paraId="5D62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14:paraId="55709BBF">
            <w:pPr>
              <w:adjustRightInd w:val="0"/>
              <w:snapToGrid w:val="0"/>
              <w:spacing w:before="0" w:beforeAutospacing="0" w:after="0" w:afterAutospacing="0"/>
              <w:ind w:left="0" w:right="0"/>
              <w:jc w:val="center"/>
              <w:rPr>
                <w:rFonts w:hint="default"/>
                <w:b/>
                <w:bCs/>
                <w:color w:val="auto"/>
                <w:szCs w:val="21"/>
              </w:rPr>
            </w:pPr>
            <w:r>
              <w:rPr>
                <w:rFonts w:hint="default"/>
                <w:b/>
                <w:bCs/>
                <w:color w:val="auto"/>
              </w:rPr>
              <w:t>2.</w:t>
            </w:r>
            <w:r>
              <w:rPr>
                <w:rFonts w:hint="eastAsia"/>
                <w:b/>
                <w:bCs/>
                <w:color w:val="auto"/>
              </w:rPr>
              <w:t>仪器性能测试</w:t>
            </w:r>
          </w:p>
          <w:p w14:paraId="32412FC7">
            <w:pPr>
              <w:adjustRightInd w:val="0"/>
              <w:snapToGrid w:val="0"/>
              <w:spacing w:before="0" w:beforeAutospacing="0" w:after="0" w:afterAutospacing="0"/>
              <w:ind w:left="0" w:right="0"/>
              <w:jc w:val="center"/>
              <w:rPr>
                <w:rFonts w:hint="default"/>
                <w:b/>
                <w:bCs/>
                <w:color w:val="auto"/>
                <w:szCs w:val="21"/>
              </w:rPr>
            </w:pPr>
            <w:r>
              <w:rPr>
                <w:rFonts w:hint="eastAsia"/>
                <w:b/>
                <w:bCs/>
                <w:color w:val="auto"/>
              </w:rPr>
              <w:t>（</w:t>
            </w:r>
            <w:r>
              <w:rPr>
                <w:rFonts w:hint="eastAsia"/>
                <w:b/>
                <w:bCs/>
                <w:color w:val="auto"/>
                <w:lang w:val="en-US" w:eastAsia="zh-CN"/>
              </w:rPr>
              <w:t>22</w:t>
            </w:r>
            <w:r>
              <w:rPr>
                <w:rFonts w:hint="eastAsia"/>
                <w:b/>
                <w:bCs/>
                <w:color w:val="auto"/>
              </w:rPr>
              <w:t>分）</w:t>
            </w:r>
          </w:p>
        </w:tc>
        <w:tc>
          <w:tcPr>
            <w:tcW w:w="5400" w:type="dxa"/>
            <w:gridSpan w:val="2"/>
            <w:vAlign w:val="center"/>
          </w:tcPr>
          <w:p w14:paraId="060C228E">
            <w:pPr>
              <w:adjustRightInd w:val="0"/>
              <w:snapToGrid w:val="0"/>
              <w:spacing w:before="0" w:beforeAutospacing="0" w:after="0" w:afterAutospacing="0"/>
              <w:ind w:left="0" w:right="0"/>
              <w:jc w:val="left"/>
              <w:rPr>
                <w:rFonts w:hint="default"/>
                <w:color w:val="auto"/>
                <w:kern w:val="0"/>
                <w:szCs w:val="21"/>
              </w:rPr>
            </w:pPr>
            <w:r>
              <w:rPr>
                <w:rFonts w:hint="eastAsia"/>
                <w:color w:val="auto"/>
              </w:rPr>
              <w:t>仪器是否出现除停电重启外的其他报警信息</w:t>
            </w:r>
          </w:p>
        </w:tc>
        <w:tc>
          <w:tcPr>
            <w:tcW w:w="1080" w:type="dxa"/>
            <w:vAlign w:val="center"/>
          </w:tcPr>
          <w:p w14:paraId="020C1138">
            <w:pPr>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lang w:val="en-US" w:eastAsia="zh-CN"/>
              </w:rPr>
              <w:t>2</w:t>
            </w:r>
          </w:p>
        </w:tc>
        <w:tc>
          <w:tcPr>
            <w:tcW w:w="1440" w:type="dxa"/>
            <w:vAlign w:val="center"/>
          </w:tcPr>
          <w:p w14:paraId="3FFEBCB5">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6631339F">
            <w:pPr>
              <w:adjustRightInd w:val="0"/>
              <w:snapToGrid w:val="0"/>
              <w:spacing w:before="0" w:beforeAutospacing="0" w:after="0" w:afterAutospacing="0"/>
              <w:ind w:left="0" w:right="0"/>
              <w:jc w:val="left"/>
              <w:rPr>
                <w:rFonts w:hint="default"/>
                <w:color w:val="auto"/>
                <w:szCs w:val="21"/>
              </w:rPr>
            </w:pPr>
          </w:p>
        </w:tc>
      </w:tr>
      <w:tr w14:paraId="2594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6E238EF4">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2EFD0B7B">
            <w:pPr>
              <w:adjustRightInd w:val="0"/>
              <w:snapToGrid w:val="0"/>
              <w:spacing w:before="0" w:beforeAutospacing="0" w:after="0" w:afterAutospacing="0"/>
              <w:ind w:left="0" w:right="0"/>
              <w:jc w:val="left"/>
              <w:rPr>
                <w:rFonts w:hint="default"/>
                <w:color w:val="auto"/>
                <w:szCs w:val="21"/>
              </w:rPr>
            </w:pPr>
            <w:r>
              <w:rPr>
                <w:rFonts w:hint="eastAsia"/>
                <w:color w:val="auto"/>
              </w:rPr>
              <w:t>更换的备品备件是否是原厂</w:t>
            </w:r>
          </w:p>
        </w:tc>
        <w:tc>
          <w:tcPr>
            <w:tcW w:w="1080" w:type="dxa"/>
            <w:vAlign w:val="center"/>
          </w:tcPr>
          <w:p w14:paraId="6E2DD73F">
            <w:pPr>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w:t>
            </w:r>
          </w:p>
        </w:tc>
        <w:tc>
          <w:tcPr>
            <w:tcW w:w="1440" w:type="dxa"/>
            <w:vAlign w:val="center"/>
          </w:tcPr>
          <w:p w14:paraId="0EC88DD4">
            <w:pPr>
              <w:adjustRightInd w:val="0"/>
              <w:snapToGrid w:val="0"/>
              <w:spacing w:before="0" w:beforeAutospacing="0" w:after="0" w:afterAutospacing="0"/>
              <w:ind w:left="0" w:right="0"/>
              <w:jc w:val="left"/>
              <w:rPr>
                <w:rFonts w:hint="default"/>
                <w:color w:val="auto"/>
                <w:szCs w:val="21"/>
              </w:rPr>
            </w:pPr>
          </w:p>
        </w:tc>
        <w:tc>
          <w:tcPr>
            <w:tcW w:w="720" w:type="dxa"/>
            <w:vAlign w:val="center"/>
          </w:tcPr>
          <w:p w14:paraId="7474376C">
            <w:pPr>
              <w:adjustRightInd w:val="0"/>
              <w:snapToGrid w:val="0"/>
              <w:spacing w:before="0" w:beforeAutospacing="0" w:after="0" w:afterAutospacing="0"/>
              <w:ind w:left="0" w:right="0"/>
              <w:jc w:val="left"/>
              <w:rPr>
                <w:rFonts w:hint="default"/>
                <w:color w:val="auto"/>
                <w:szCs w:val="21"/>
              </w:rPr>
            </w:pPr>
          </w:p>
        </w:tc>
      </w:tr>
      <w:tr w14:paraId="5E43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33E2D2E8">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6B5620D8">
            <w:pPr>
              <w:adjustRightInd w:val="0"/>
              <w:snapToGrid w:val="0"/>
              <w:spacing w:before="0" w:beforeAutospacing="0" w:after="0" w:afterAutospacing="0"/>
              <w:ind w:left="0" w:right="0"/>
              <w:jc w:val="left"/>
              <w:rPr>
                <w:rFonts w:hint="default"/>
                <w:color w:val="auto"/>
                <w:kern w:val="0"/>
              </w:rPr>
            </w:pPr>
            <w:r>
              <w:rPr>
                <w:rFonts w:hint="eastAsia"/>
                <w:color w:val="auto"/>
                <w:kern w:val="0"/>
              </w:rPr>
              <w:t>动态校准仪质量流量控制器（</w:t>
            </w:r>
            <w:r>
              <w:rPr>
                <w:rFonts w:hint="default"/>
                <w:color w:val="auto"/>
                <w:kern w:val="0"/>
              </w:rPr>
              <w:t>MFC</w:t>
            </w:r>
            <w:r>
              <w:rPr>
                <w:rFonts w:hint="eastAsia"/>
                <w:color w:val="auto"/>
                <w:kern w:val="0"/>
              </w:rPr>
              <w:t>）单点流量测试：</w:t>
            </w:r>
          </w:p>
          <w:p w14:paraId="7FD37B80">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标准温度：</w:t>
            </w:r>
            <w:r>
              <w:rPr>
                <w:rFonts w:hint="default"/>
                <w:color w:val="auto"/>
                <w:kern w:val="0"/>
              </w:rPr>
              <w:t>________</w:t>
            </w:r>
            <w:r>
              <w:rPr>
                <w:rFonts w:hint="eastAsia"/>
                <w:color w:val="auto"/>
                <w:kern w:val="0"/>
              </w:rPr>
              <w:t>标准气压</w:t>
            </w:r>
            <w:r>
              <w:rPr>
                <w:rFonts w:hint="default"/>
                <w:color w:val="auto"/>
                <w:kern w:val="0"/>
              </w:rPr>
              <w:t>__________</w:t>
            </w:r>
          </w:p>
          <w:p w14:paraId="2A2CD375">
            <w:pPr>
              <w:adjustRightInd w:val="0"/>
              <w:snapToGrid w:val="0"/>
              <w:spacing w:before="0" w:beforeAutospacing="0" w:after="0" w:afterAutospacing="0"/>
              <w:ind w:left="0" w:right="0"/>
              <w:jc w:val="left"/>
              <w:rPr>
                <w:rFonts w:hint="default"/>
                <w:color w:val="auto"/>
                <w:kern w:val="0"/>
                <w:u w:val="single"/>
              </w:rPr>
            </w:pPr>
            <w:r>
              <w:rPr>
                <w:rFonts w:hint="eastAsia"/>
                <w:color w:val="auto"/>
                <w:kern w:val="0"/>
              </w:rPr>
              <w:t>零气</w:t>
            </w:r>
            <w:r>
              <w:rPr>
                <w:rFonts w:hint="default"/>
                <w:color w:val="auto"/>
                <w:kern w:val="0"/>
              </w:rPr>
              <w:t>MFC</w:t>
            </w:r>
            <w:r>
              <w:rPr>
                <w:rFonts w:hint="eastAsia"/>
                <w:color w:val="auto"/>
                <w:kern w:val="0"/>
              </w:rPr>
              <w:t>流量：</w:t>
            </w:r>
            <w:r>
              <w:rPr>
                <w:rFonts w:hint="default"/>
                <w:color w:val="auto"/>
                <w:kern w:val="0"/>
                <w:u w:val="single"/>
              </w:rPr>
              <w:t xml:space="preserve">    </w:t>
            </w:r>
            <w:r>
              <w:rPr>
                <w:rFonts w:hint="default"/>
                <w:color w:val="auto"/>
                <w:kern w:val="0"/>
              </w:rPr>
              <w:t>L/min,</w:t>
            </w:r>
            <w:r>
              <w:rPr>
                <w:rFonts w:hint="eastAsia"/>
                <w:color w:val="auto"/>
                <w:kern w:val="0"/>
              </w:rPr>
              <w:t>标准流量计测值：</w:t>
            </w:r>
            <w:r>
              <w:rPr>
                <w:rFonts w:hint="default"/>
                <w:color w:val="auto"/>
                <w:kern w:val="0"/>
                <w:u w:val="single"/>
              </w:rPr>
              <w:t xml:space="preserve">       </w:t>
            </w:r>
            <w:r>
              <w:rPr>
                <w:rFonts w:hint="default"/>
                <w:color w:val="auto"/>
                <w:kern w:val="0"/>
              </w:rPr>
              <w:t>L/min</w:t>
            </w:r>
            <w:r>
              <w:rPr>
                <w:rFonts w:hint="eastAsia"/>
                <w:color w:val="auto"/>
                <w:kern w:val="0"/>
              </w:rPr>
              <w:t>，相对误差</w:t>
            </w:r>
            <w:r>
              <w:rPr>
                <w:rFonts w:hint="default"/>
                <w:color w:val="auto"/>
                <w:kern w:val="0"/>
                <w:u w:val="single"/>
              </w:rPr>
              <w:t xml:space="preserve">    %</w:t>
            </w:r>
            <w:r>
              <w:rPr>
                <w:rFonts w:hint="eastAsia"/>
                <w:color w:val="auto"/>
                <w:kern w:val="0"/>
              </w:rPr>
              <w:t>（≤±2%）</w:t>
            </w:r>
          </w:p>
          <w:p w14:paraId="6CA2499E">
            <w:pPr>
              <w:adjustRightInd w:val="0"/>
              <w:snapToGrid w:val="0"/>
              <w:spacing w:before="0" w:beforeAutospacing="0" w:after="0" w:afterAutospacing="0"/>
              <w:ind w:left="0" w:right="0"/>
              <w:jc w:val="left"/>
              <w:rPr>
                <w:rFonts w:hint="default"/>
                <w:color w:val="auto"/>
                <w:kern w:val="0"/>
                <w:szCs w:val="21"/>
                <w:u w:val="single"/>
              </w:rPr>
            </w:pPr>
            <w:r>
              <w:rPr>
                <w:rFonts w:hint="eastAsia"/>
                <w:color w:val="auto"/>
                <w:kern w:val="0"/>
              </w:rPr>
              <w:t>标气</w:t>
            </w:r>
            <w:r>
              <w:rPr>
                <w:rFonts w:hint="default"/>
                <w:color w:val="auto"/>
                <w:kern w:val="0"/>
              </w:rPr>
              <w:t>MFC</w:t>
            </w:r>
            <w:r>
              <w:rPr>
                <w:rFonts w:hint="eastAsia"/>
                <w:color w:val="auto"/>
                <w:kern w:val="0"/>
              </w:rPr>
              <w:t>流量：</w:t>
            </w:r>
            <w:r>
              <w:rPr>
                <w:rFonts w:hint="default"/>
                <w:color w:val="auto"/>
                <w:kern w:val="0"/>
                <w:u w:val="single"/>
              </w:rPr>
              <w:t xml:space="preserve">    </w:t>
            </w:r>
            <w:r>
              <w:rPr>
                <w:rFonts w:hint="default"/>
                <w:color w:val="auto"/>
                <w:kern w:val="0"/>
              </w:rPr>
              <w:t>mL/min,</w:t>
            </w:r>
            <w:r>
              <w:rPr>
                <w:rFonts w:hint="eastAsia"/>
                <w:color w:val="auto"/>
                <w:kern w:val="0"/>
              </w:rPr>
              <w:t>标准流量计测值：</w:t>
            </w:r>
            <w:r>
              <w:rPr>
                <w:rFonts w:hint="default"/>
                <w:color w:val="auto"/>
                <w:kern w:val="0"/>
                <w:u w:val="single"/>
              </w:rPr>
              <w:t xml:space="preserve">      </w:t>
            </w:r>
            <w:r>
              <w:rPr>
                <w:rFonts w:hint="default"/>
                <w:color w:val="auto"/>
                <w:kern w:val="0"/>
              </w:rPr>
              <w:t>mL/min</w:t>
            </w:r>
            <w:r>
              <w:rPr>
                <w:rFonts w:hint="eastAsia"/>
                <w:color w:val="auto"/>
                <w:kern w:val="0"/>
              </w:rPr>
              <w:t>，相对误差</w:t>
            </w:r>
            <w:r>
              <w:rPr>
                <w:rFonts w:hint="default"/>
                <w:color w:val="auto"/>
                <w:kern w:val="0"/>
                <w:u w:val="single"/>
              </w:rPr>
              <w:t xml:space="preserve">    %</w:t>
            </w:r>
            <w:r>
              <w:rPr>
                <w:rFonts w:hint="eastAsia"/>
                <w:color w:val="auto"/>
                <w:kern w:val="0"/>
              </w:rPr>
              <w:t>（≤±2%）</w:t>
            </w:r>
          </w:p>
        </w:tc>
        <w:tc>
          <w:tcPr>
            <w:tcW w:w="1080" w:type="dxa"/>
            <w:vAlign w:val="center"/>
          </w:tcPr>
          <w:p w14:paraId="76F9A1C5">
            <w:pPr>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5</w:t>
            </w:r>
          </w:p>
        </w:tc>
        <w:tc>
          <w:tcPr>
            <w:tcW w:w="1440" w:type="dxa"/>
            <w:vAlign w:val="center"/>
          </w:tcPr>
          <w:p w14:paraId="172742B0">
            <w:pPr>
              <w:snapToGrid w:val="0"/>
              <w:spacing w:before="0" w:beforeAutospacing="0" w:after="0" w:afterAutospacing="0"/>
              <w:ind w:left="0" w:right="0"/>
              <w:rPr>
                <w:rFonts w:hint="default"/>
                <w:color w:val="auto"/>
                <w:szCs w:val="21"/>
              </w:rPr>
            </w:pPr>
            <w:r>
              <w:rPr>
                <w:rFonts w:hint="eastAsia"/>
                <w:color w:val="auto"/>
              </w:rPr>
              <w:t>一项不满足扣</w:t>
            </w:r>
            <w:r>
              <w:rPr>
                <w:rFonts w:hint="default"/>
                <w:color w:val="auto"/>
              </w:rPr>
              <w:t>2</w:t>
            </w:r>
            <w:r>
              <w:rPr>
                <w:rFonts w:hint="eastAsia"/>
                <w:color w:val="auto"/>
              </w:rPr>
              <w:t>分</w:t>
            </w:r>
          </w:p>
        </w:tc>
        <w:tc>
          <w:tcPr>
            <w:tcW w:w="720" w:type="dxa"/>
            <w:vAlign w:val="center"/>
          </w:tcPr>
          <w:p w14:paraId="49E6B384">
            <w:pPr>
              <w:adjustRightInd w:val="0"/>
              <w:snapToGrid w:val="0"/>
              <w:spacing w:before="0" w:beforeAutospacing="0" w:after="0" w:afterAutospacing="0"/>
              <w:ind w:left="0" w:right="0"/>
              <w:jc w:val="center"/>
              <w:rPr>
                <w:rFonts w:hint="default"/>
                <w:color w:val="auto"/>
                <w:szCs w:val="21"/>
              </w:rPr>
            </w:pPr>
          </w:p>
        </w:tc>
      </w:tr>
      <w:tr w14:paraId="19BF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7795ECFE">
            <w:pPr>
              <w:widowControl/>
              <w:spacing w:before="0" w:beforeAutospacing="0" w:after="0" w:afterAutospacing="0"/>
              <w:ind w:left="0" w:right="0"/>
              <w:jc w:val="left"/>
              <w:rPr>
                <w:rFonts w:hint="default"/>
                <w:b/>
                <w:bCs/>
                <w:color w:val="auto"/>
                <w:szCs w:val="21"/>
              </w:rPr>
            </w:pPr>
          </w:p>
        </w:tc>
        <w:tc>
          <w:tcPr>
            <w:tcW w:w="5400" w:type="dxa"/>
            <w:gridSpan w:val="2"/>
            <w:vAlign w:val="center"/>
          </w:tcPr>
          <w:p w14:paraId="36282A33">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非甲烷总烃仪器</w:t>
            </w:r>
            <w:r>
              <w:rPr>
                <w:rFonts w:hint="default"/>
                <w:color w:val="auto"/>
                <w:kern w:val="0"/>
              </w:rPr>
              <w:t>采样流量测试：</w:t>
            </w:r>
          </w:p>
          <w:p w14:paraId="1D715ABF">
            <w:pPr>
              <w:adjustRightInd w:val="0"/>
              <w:snapToGrid w:val="0"/>
              <w:spacing w:before="0" w:beforeAutospacing="0" w:after="0" w:afterAutospacing="0"/>
              <w:ind w:left="0" w:right="0"/>
              <w:jc w:val="left"/>
              <w:rPr>
                <w:rFonts w:hint="default"/>
                <w:color w:val="auto"/>
                <w:kern w:val="0"/>
                <w:u w:val="single"/>
              </w:rPr>
            </w:pPr>
            <w:r>
              <w:rPr>
                <w:rFonts w:hint="default"/>
                <w:color w:val="auto"/>
                <w:kern w:val="0"/>
              </w:rPr>
              <w:t>显示流量：</w:t>
            </w:r>
            <w:r>
              <w:rPr>
                <w:rFonts w:hint="default"/>
                <w:color w:val="auto"/>
                <w:kern w:val="0"/>
                <w:u w:val="single"/>
              </w:rPr>
              <w:t xml:space="preserve">      </w:t>
            </w:r>
            <w:r>
              <w:rPr>
                <w:rFonts w:hint="default"/>
                <w:color w:val="auto"/>
                <w:kern w:val="0"/>
              </w:rPr>
              <w:t>L/min，流量计测值：</w:t>
            </w:r>
            <w:r>
              <w:rPr>
                <w:rFonts w:hint="default"/>
                <w:color w:val="auto"/>
                <w:kern w:val="0"/>
                <w:u w:val="single"/>
              </w:rPr>
              <w:t xml:space="preserve">      </w:t>
            </w:r>
            <w:r>
              <w:rPr>
                <w:rFonts w:hint="default"/>
                <w:color w:val="auto"/>
                <w:kern w:val="0"/>
              </w:rPr>
              <w:t>L/min，相对误差</w:t>
            </w:r>
            <w:r>
              <w:rPr>
                <w:rFonts w:hint="default"/>
                <w:color w:val="auto"/>
                <w:kern w:val="0"/>
                <w:u w:val="single"/>
              </w:rPr>
              <w:t xml:space="preserve">       </w:t>
            </w:r>
            <w:r>
              <w:rPr>
                <w:rFonts w:hint="default"/>
                <w:color w:val="auto"/>
                <w:kern w:val="0"/>
              </w:rPr>
              <w:t>%（≤±10%）</w:t>
            </w:r>
          </w:p>
        </w:tc>
        <w:tc>
          <w:tcPr>
            <w:tcW w:w="1080" w:type="dxa"/>
            <w:vAlign w:val="center"/>
          </w:tcPr>
          <w:p w14:paraId="1A145020">
            <w:pPr>
              <w:adjustRightInd w:val="0"/>
              <w:snapToGrid w:val="0"/>
              <w:spacing w:before="0" w:beforeAutospacing="0" w:after="0" w:afterAutospacing="0"/>
              <w:ind w:left="0" w:right="0"/>
              <w:jc w:val="center"/>
              <w:rPr>
                <w:rFonts w:hint="default"/>
                <w:color w:val="auto"/>
              </w:rPr>
            </w:pPr>
            <w:r>
              <w:rPr>
                <w:rFonts w:hint="default"/>
                <w:color w:val="auto"/>
              </w:rPr>
              <w:t>4</w:t>
            </w:r>
          </w:p>
        </w:tc>
        <w:tc>
          <w:tcPr>
            <w:tcW w:w="1440" w:type="dxa"/>
            <w:vAlign w:val="center"/>
          </w:tcPr>
          <w:p w14:paraId="7F294C96">
            <w:pPr>
              <w:snapToGrid w:val="0"/>
              <w:spacing w:before="0" w:beforeAutospacing="0" w:after="0" w:afterAutospacing="0"/>
              <w:ind w:left="0" w:right="0"/>
              <w:rPr>
                <w:rFonts w:hint="default"/>
                <w:color w:val="auto"/>
              </w:rPr>
            </w:pPr>
          </w:p>
        </w:tc>
        <w:tc>
          <w:tcPr>
            <w:tcW w:w="720" w:type="dxa"/>
            <w:vAlign w:val="center"/>
          </w:tcPr>
          <w:p w14:paraId="4D564480">
            <w:pPr>
              <w:adjustRightInd w:val="0"/>
              <w:snapToGrid w:val="0"/>
              <w:spacing w:before="0" w:beforeAutospacing="0" w:after="0" w:afterAutospacing="0"/>
              <w:ind w:left="0" w:right="0"/>
              <w:jc w:val="center"/>
              <w:rPr>
                <w:rFonts w:hint="default"/>
                <w:color w:val="auto"/>
                <w:szCs w:val="21"/>
              </w:rPr>
            </w:pPr>
          </w:p>
        </w:tc>
      </w:tr>
      <w:tr w14:paraId="28D5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80" w:type="dxa"/>
            <w:vMerge w:val="continue"/>
            <w:vAlign w:val="center"/>
          </w:tcPr>
          <w:p w14:paraId="036EEEF1">
            <w:pPr>
              <w:widowControl/>
              <w:spacing w:before="0" w:beforeAutospacing="0" w:after="0" w:afterAutospacing="0"/>
              <w:ind w:left="0" w:right="0"/>
              <w:jc w:val="left"/>
              <w:rPr>
                <w:rFonts w:hint="default"/>
                <w:b/>
                <w:bCs/>
                <w:color w:val="auto"/>
                <w:szCs w:val="21"/>
              </w:rPr>
            </w:pPr>
          </w:p>
        </w:tc>
        <w:tc>
          <w:tcPr>
            <w:tcW w:w="758" w:type="dxa"/>
            <w:vMerge w:val="restart"/>
            <w:vAlign w:val="center"/>
          </w:tcPr>
          <w:p w14:paraId="08D89B12">
            <w:pPr>
              <w:adjustRightInd w:val="0"/>
              <w:snapToGrid w:val="0"/>
              <w:spacing w:before="0" w:beforeAutospacing="0" w:after="0" w:afterAutospacing="0"/>
              <w:ind w:left="0" w:right="0"/>
              <w:jc w:val="left"/>
              <w:rPr>
                <w:rFonts w:hint="default"/>
                <w:color w:val="auto"/>
                <w:kern w:val="0"/>
              </w:rPr>
            </w:pPr>
            <w:r>
              <w:rPr>
                <w:rFonts w:hint="eastAsia"/>
                <w:color w:val="auto"/>
                <w:kern w:val="0"/>
              </w:rPr>
              <w:t>非甲烷总烃仪器</w:t>
            </w:r>
            <w:r>
              <w:rPr>
                <w:rFonts w:hint="default"/>
                <w:color w:val="auto"/>
                <w:kern w:val="0"/>
              </w:rPr>
              <w:t>测试</w:t>
            </w:r>
          </w:p>
          <w:p w14:paraId="36315809">
            <w:pPr>
              <w:adjustRightInd w:val="0"/>
              <w:snapToGrid w:val="0"/>
              <w:spacing w:before="0" w:beforeAutospacing="0" w:after="0" w:afterAutospacing="0"/>
              <w:ind w:left="0" w:right="0" w:firstLine="1100" w:firstLineChars="500"/>
              <w:jc w:val="left"/>
              <w:rPr>
                <w:rFonts w:hint="default"/>
                <w:color w:val="auto"/>
                <w:kern w:val="0"/>
              </w:rPr>
            </w:pPr>
          </w:p>
        </w:tc>
        <w:tc>
          <w:tcPr>
            <w:tcW w:w="4642" w:type="dxa"/>
            <w:vAlign w:val="center"/>
          </w:tcPr>
          <w:p w14:paraId="1ACB1A53">
            <w:pPr>
              <w:adjustRightInd w:val="0"/>
              <w:snapToGrid w:val="0"/>
              <w:spacing w:before="0" w:beforeAutospacing="0" w:after="0" w:afterAutospacing="0"/>
              <w:ind w:left="0" w:right="0"/>
              <w:jc w:val="left"/>
              <w:rPr>
                <w:rFonts w:hint="default"/>
                <w:color w:val="auto"/>
                <w:kern w:val="0"/>
              </w:rPr>
            </w:pPr>
            <w:r>
              <w:rPr>
                <w:rFonts w:hint="eastAsia"/>
                <w:color w:val="auto"/>
                <w:kern w:val="0"/>
              </w:rPr>
              <w:t>空白测试：</w:t>
            </w:r>
          </w:p>
          <w:p w14:paraId="70C3C4CF">
            <w:pPr>
              <w:adjustRightInd w:val="0"/>
              <w:snapToGrid w:val="0"/>
              <w:spacing w:before="0" w:beforeAutospacing="0" w:after="0" w:afterAutospacing="0"/>
              <w:ind w:left="0" w:right="0"/>
              <w:jc w:val="left"/>
              <w:rPr>
                <w:rFonts w:hint="default"/>
                <w:color w:val="auto"/>
                <w:kern w:val="0"/>
              </w:rPr>
            </w:pPr>
            <w:r>
              <w:rPr>
                <w:rFonts w:hint="eastAsia"/>
                <w:color w:val="auto"/>
                <w:kern w:val="0"/>
              </w:rPr>
              <w:t>甲烷：</w:t>
            </w:r>
            <w:r>
              <w:rPr>
                <w:rFonts w:hint="default"/>
                <w:color w:val="auto"/>
                <w:kern w:val="0"/>
                <w:u w:val="single"/>
              </w:rPr>
              <w:t xml:space="preserve">       </w:t>
            </w:r>
            <w:r>
              <w:rPr>
                <w:rFonts w:hint="default"/>
                <w:color w:val="auto"/>
                <w:kern w:val="0"/>
              </w:rPr>
              <w:t>ppb</w:t>
            </w:r>
            <w:r>
              <w:rPr>
                <w:rFonts w:hint="eastAsia"/>
                <w:color w:val="auto"/>
                <w:kern w:val="0"/>
              </w:rPr>
              <w:t>（≤100ppb）</w:t>
            </w:r>
          </w:p>
          <w:p w14:paraId="51E730A9">
            <w:pPr>
              <w:adjustRightInd w:val="0"/>
              <w:snapToGrid w:val="0"/>
              <w:spacing w:before="0" w:beforeAutospacing="0" w:after="0" w:afterAutospacing="0"/>
              <w:ind w:left="0" w:right="0"/>
              <w:jc w:val="left"/>
              <w:rPr>
                <w:rFonts w:hint="default"/>
                <w:color w:val="auto"/>
                <w:kern w:val="0"/>
              </w:rPr>
            </w:pPr>
            <w:r>
              <w:rPr>
                <w:rFonts w:hint="eastAsia"/>
                <w:color w:val="auto"/>
                <w:kern w:val="0"/>
              </w:rPr>
              <w:t>非甲烷总烃：</w:t>
            </w:r>
            <w:r>
              <w:rPr>
                <w:rFonts w:hint="default"/>
                <w:color w:val="auto"/>
                <w:kern w:val="0"/>
                <w:u w:val="single"/>
              </w:rPr>
              <w:t xml:space="preserve">     </w:t>
            </w:r>
            <w:r>
              <w:rPr>
                <w:rFonts w:hint="default"/>
                <w:color w:val="auto"/>
                <w:kern w:val="0"/>
              </w:rPr>
              <w:t>ppb</w:t>
            </w:r>
            <w:r>
              <w:rPr>
                <w:rFonts w:hint="eastAsia"/>
                <w:color w:val="auto"/>
                <w:kern w:val="0"/>
              </w:rPr>
              <w:t>（≤20ppb）</w:t>
            </w:r>
          </w:p>
        </w:tc>
        <w:tc>
          <w:tcPr>
            <w:tcW w:w="1080" w:type="dxa"/>
            <w:vAlign w:val="center"/>
          </w:tcPr>
          <w:p w14:paraId="5C459052">
            <w:pPr>
              <w:adjustRightInd w:val="0"/>
              <w:snapToGrid w:val="0"/>
              <w:spacing w:before="0" w:beforeAutospacing="0" w:after="0" w:afterAutospacing="0"/>
              <w:ind w:left="0" w:right="0"/>
              <w:jc w:val="center"/>
              <w:rPr>
                <w:rFonts w:hint="default"/>
                <w:color w:val="auto"/>
              </w:rPr>
            </w:pPr>
            <w:r>
              <w:rPr>
                <w:rFonts w:hint="default"/>
                <w:color w:val="auto"/>
              </w:rPr>
              <w:t>4</w:t>
            </w:r>
          </w:p>
        </w:tc>
        <w:tc>
          <w:tcPr>
            <w:tcW w:w="1440" w:type="dxa"/>
            <w:vAlign w:val="center"/>
          </w:tcPr>
          <w:p w14:paraId="201DF85F">
            <w:pPr>
              <w:snapToGrid w:val="0"/>
              <w:spacing w:before="0" w:beforeAutospacing="0" w:after="0" w:afterAutospacing="0"/>
              <w:ind w:left="0" w:right="0"/>
              <w:rPr>
                <w:rFonts w:hint="default"/>
                <w:color w:val="auto"/>
              </w:rPr>
            </w:pPr>
            <w:r>
              <w:rPr>
                <w:rFonts w:hint="eastAsia"/>
                <w:color w:val="auto"/>
              </w:rPr>
              <w:t>一项不满足扣</w:t>
            </w:r>
            <w:r>
              <w:rPr>
                <w:rFonts w:hint="default"/>
                <w:color w:val="auto"/>
              </w:rPr>
              <w:t>2</w:t>
            </w:r>
            <w:r>
              <w:rPr>
                <w:rFonts w:hint="eastAsia"/>
                <w:color w:val="auto"/>
              </w:rPr>
              <w:t>分</w:t>
            </w:r>
          </w:p>
        </w:tc>
        <w:tc>
          <w:tcPr>
            <w:tcW w:w="720" w:type="dxa"/>
            <w:vAlign w:val="center"/>
          </w:tcPr>
          <w:p w14:paraId="2650B9BA">
            <w:pPr>
              <w:adjustRightInd w:val="0"/>
              <w:snapToGrid w:val="0"/>
              <w:spacing w:before="0" w:beforeAutospacing="0" w:after="0" w:afterAutospacing="0"/>
              <w:ind w:left="0" w:right="0"/>
              <w:jc w:val="center"/>
              <w:rPr>
                <w:rFonts w:hint="default"/>
                <w:color w:val="auto"/>
                <w:szCs w:val="21"/>
              </w:rPr>
            </w:pPr>
          </w:p>
        </w:tc>
      </w:tr>
      <w:tr w14:paraId="56B4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080" w:type="dxa"/>
            <w:vMerge w:val="continue"/>
            <w:vAlign w:val="center"/>
          </w:tcPr>
          <w:p w14:paraId="6529212A">
            <w:pPr>
              <w:widowControl/>
              <w:spacing w:before="0" w:beforeAutospacing="0" w:after="0" w:afterAutospacing="0"/>
              <w:ind w:left="0" w:right="0"/>
              <w:jc w:val="left"/>
              <w:rPr>
                <w:rFonts w:hint="default"/>
                <w:b/>
                <w:bCs/>
                <w:color w:val="auto"/>
                <w:szCs w:val="21"/>
              </w:rPr>
            </w:pPr>
          </w:p>
        </w:tc>
        <w:tc>
          <w:tcPr>
            <w:tcW w:w="758" w:type="dxa"/>
            <w:vMerge w:val="continue"/>
            <w:vAlign w:val="center"/>
          </w:tcPr>
          <w:p w14:paraId="680AFCB5">
            <w:pPr>
              <w:adjustRightInd w:val="0"/>
              <w:snapToGrid w:val="0"/>
              <w:spacing w:before="0" w:beforeAutospacing="0" w:after="0" w:afterAutospacing="0"/>
              <w:ind w:left="0" w:right="0"/>
              <w:jc w:val="left"/>
              <w:rPr>
                <w:rFonts w:hint="default"/>
                <w:color w:val="auto"/>
                <w:kern w:val="0"/>
              </w:rPr>
            </w:pPr>
          </w:p>
        </w:tc>
        <w:tc>
          <w:tcPr>
            <w:tcW w:w="4642" w:type="dxa"/>
            <w:vAlign w:val="center"/>
          </w:tcPr>
          <w:p w14:paraId="72479217">
            <w:pPr>
              <w:adjustRightInd w:val="0"/>
              <w:snapToGrid w:val="0"/>
              <w:spacing w:before="0" w:beforeAutospacing="0" w:after="0" w:afterAutospacing="0"/>
              <w:ind w:left="0" w:right="0"/>
              <w:jc w:val="left"/>
              <w:rPr>
                <w:rFonts w:hint="default"/>
                <w:color w:val="auto"/>
                <w:kern w:val="0"/>
              </w:rPr>
            </w:pPr>
            <w:r>
              <w:rPr>
                <w:rFonts w:hint="eastAsia"/>
                <w:color w:val="auto"/>
                <w:kern w:val="0"/>
              </w:rPr>
              <w:t>标点测试</w:t>
            </w:r>
            <w:r>
              <w:rPr>
                <w:rFonts w:hint="default"/>
                <w:color w:val="auto"/>
                <w:kern w:val="0"/>
              </w:rPr>
              <w:t>：</w:t>
            </w:r>
          </w:p>
          <w:p w14:paraId="5B3EF2ED">
            <w:pPr>
              <w:adjustRightInd w:val="0"/>
              <w:snapToGrid w:val="0"/>
              <w:spacing w:before="0" w:beforeAutospacing="0" w:after="0" w:afterAutospacing="0"/>
              <w:ind w:left="0" w:right="0"/>
              <w:jc w:val="left"/>
              <w:rPr>
                <w:rFonts w:hint="default"/>
                <w:color w:val="auto"/>
                <w:kern w:val="0"/>
              </w:rPr>
            </w:pPr>
            <w:r>
              <w:rPr>
                <w:rFonts w:hint="default"/>
                <w:color w:val="auto"/>
                <w:kern w:val="0"/>
              </w:rPr>
              <w:t>标气浓度</w:t>
            </w:r>
            <w:r>
              <w:rPr>
                <w:rFonts w:hint="eastAsia"/>
                <w:color w:val="auto"/>
                <w:kern w:val="0"/>
              </w:rPr>
              <w:t>：甲烷</w:t>
            </w:r>
            <w:r>
              <w:rPr>
                <w:rFonts w:hint="default"/>
                <w:color w:val="auto"/>
                <w:kern w:val="0"/>
              </w:rPr>
              <w:t>_____</w:t>
            </w:r>
            <w:r>
              <w:rPr>
                <w:rFonts w:hint="eastAsia"/>
                <w:color w:val="auto"/>
                <w:kern w:val="0"/>
              </w:rPr>
              <w:t>丙烷</w:t>
            </w:r>
            <w:r>
              <w:rPr>
                <w:rFonts w:hint="default"/>
                <w:color w:val="auto"/>
                <w:kern w:val="0"/>
              </w:rPr>
              <w:t>_____,有效期_____。</w:t>
            </w:r>
          </w:p>
          <w:p w14:paraId="6CD7E942">
            <w:pPr>
              <w:adjustRightInd w:val="0"/>
              <w:snapToGrid w:val="0"/>
              <w:spacing w:before="0" w:beforeAutospacing="0" w:after="0" w:afterAutospacing="0"/>
              <w:ind w:left="0" w:right="0"/>
              <w:jc w:val="left"/>
              <w:rPr>
                <w:rFonts w:hint="default"/>
                <w:color w:val="auto"/>
                <w:kern w:val="0"/>
              </w:rPr>
            </w:pPr>
            <w:r>
              <w:rPr>
                <w:rFonts w:hint="eastAsia"/>
                <w:color w:val="auto"/>
                <w:kern w:val="0"/>
              </w:rPr>
              <w:t>输出浓度：甲烷</w:t>
            </w:r>
            <w:r>
              <w:rPr>
                <w:rFonts w:hint="default"/>
                <w:color w:val="auto"/>
                <w:kern w:val="0"/>
              </w:rPr>
              <w:t>_____ppb，</w:t>
            </w:r>
            <w:r>
              <w:rPr>
                <w:rFonts w:hint="eastAsia"/>
                <w:color w:val="auto"/>
                <w:kern w:val="0"/>
              </w:rPr>
              <w:t>丙烷</w:t>
            </w:r>
            <w:r>
              <w:rPr>
                <w:rFonts w:hint="default"/>
                <w:color w:val="auto"/>
                <w:kern w:val="0"/>
              </w:rPr>
              <w:t>_____ppb</w:t>
            </w:r>
          </w:p>
          <w:p w14:paraId="40C9B835">
            <w:pPr>
              <w:adjustRightInd w:val="0"/>
              <w:snapToGrid w:val="0"/>
              <w:spacing w:before="0" w:beforeAutospacing="0" w:after="0" w:afterAutospacing="0"/>
              <w:ind w:left="0" w:right="0"/>
              <w:jc w:val="left"/>
              <w:rPr>
                <w:rFonts w:hint="default"/>
                <w:color w:val="auto"/>
                <w:kern w:val="0"/>
              </w:rPr>
            </w:pPr>
            <w:r>
              <w:rPr>
                <w:rFonts w:hint="default"/>
                <w:color w:val="auto"/>
                <w:kern w:val="0"/>
              </w:rPr>
              <w:t>仪器响应浓度</w:t>
            </w:r>
            <w:r>
              <w:rPr>
                <w:rFonts w:hint="eastAsia"/>
                <w:color w:val="auto"/>
                <w:kern w:val="0"/>
              </w:rPr>
              <w:t>：甲烷</w:t>
            </w:r>
            <w:r>
              <w:rPr>
                <w:rFonts w:hint="default"/>
                <w:color w:val="auto"/>
                <w:kern w:val="0"/>
              </w:rPr>
              <w:t>____ppb，</w:t>
            </w:r>
            <w:r>
              <w:rPr>
                <w:rFonts w:hint="eastAsia"/>
                <w:color w:val="auto"/>
                <w:kern w:val="0"/>
              </w:rPr>
              <w:t>总烃</w:t>
            </w:r>
            <w:r>
              <w:rPr>
                <w:rFonts w:hint="default"/>
                <w:color w:val="auto"/>
                <w:kern w:val="0"/>
              </w:rPr>
              <w:t>_____ ppb，浓度误差</w:t>
            </w:r>
            <w:r>
              <w:rPr>
                <w:rFonts w:hint="default"/>
                <w:color w:val="auto"/>
                <w:kern w:val="0"/>
                <w:u w:val="single"/>
              </w:rPr>
              <w:t xml:space="preserve">      </w:t>
            </w:r>
            <w:r>
              <w:rPr>
                <w:rFonts w:hint="eastAsia"/>
                <w:color w:val="auto"/>
                <w:kern w:val="0"/>
                <w:u w:val="single"/>
              </w:rPr>
              <w:t>/</w:t>
            </w:r>
            <w:r>
              <w:rPr>
                <w:rFonts w:hint="default"/>
                <w:color w:val="auto"/>
                <w:kern w:val="0"/>
                <w:u w:val="single"/>
              </w:rPr>
              <w:t xml:space="preserve">      </w:t>
            </w:r>
            <w:r>
              <w:rPr>
                <w:rFonts w:hint="default"/>
                <w:color w:val="auto"/>
                <w:kern w:val="0"/>
              </w:rPr>
              <w:t>（≤±5%）</w:t>
            </w:r>
          </w:p>
        </w:tc>
        <w:tc>
          <w:tcPr>
            <w:tcW w:w="1080" w:type="dxa"/>
            <w:vAlign w:val="center"/>
          </w:tcPr>
          <w:p w14:paraId="4E837823">
            <w:pPr>
              <w:adjustRightInd w:val="0"/>
              <w:snapToGrid w:val="0"/>
              <w:spacing w:before="0" w:beforeAutospacing="0" w:after="0" w:afterAutospacing="0"/>
              <w:ind w:left="0" w:right="0"/>
              <w:jc w:val="center"/>
              <w:rPr>
                <w:rFonts w:hint="default"/>
                <w:color w:val="auto"/>
              </w:rPr>
            </w:pPr>
            <w:r>
              <w:rPr>
                <w:rFonts w:hint="default"/>
                <w:color w:val="auto"/>
              </w:rPr>
              <w:t>5</w:t>
            </w:r>
          </w:p>
        </w:tc>
        <w:tc>
          <w:tcPr>
            <w:tcW w:w="1440" w:type="dxa"/>
            <w:vAlign w:val="center"/>
          </w:tcPr>
          <w:p w14:paraId="60870C86">
            <w:pPr>
              <w:snapToGrid w:val="0"/>
              <w:spacing w:before="0" w:beforeAutospacing="0" w:after="0" w:afterAutospacing="0"/>
              <w:ind w:left="0" w:right="0"/>
              <w:rPr>
                <w:rFonts w:hint="default"/>
                <w:color w:val="auto"/>
              </w:rPr>
            </w:pPr>
            <w:r>
              <w:rPr>
                <w:rFonts w:hint="eastAsia"/>
                <w:color w:val="auto"/>
              </w:rPr>
              <w:t>一项不满足扣2分</w:t>
            </w:r>
          </w:p>
        </w:tc>
        <w:tc>
          <w:tcPr>
            <w:tcW w:w="720" w:type="dxa"/>
            <w:vAlign w:val="center"/>
          </w:tcPr>
          <w:p w14:paraId="1D8C9ED4">
            <w:pPr>
              <w:adjustRightInd w:val="0"/>
              <w:snapToGrid w:val="0"/>
              <w:spacing w:before="0" w:beforeAutospacing="0" w:after="0" w:afterAutospacing="0"/>
              <w:ind w:left="0" w:right="0"/>
              <w:jc w:val="center"/>
              <w:rPr>
                <w:rFonts w:hint="default"/>
                <w:color w:val="auto"/>
                <w:szCs w:val="21"/>
              </w:rPr>
            </w:pPr>
          </w:p>
        </w:tc>
      </w:tr>
      <w:tr w14:paraId="7C50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080" w:type="dxa"/>
            <w:vMerge w:val="restart"/>
            <w:vAlign w:val="center"/>
          </w:tcPr>
          <w:p w14:paraId="28268EFC">
            <w:pPr>
              <w:adjustRightInd w:val="0"/>
              <w:snapToGrid w:val="0"/>
              <w:spacing w:before="0" w:beforeAutospacing="0" w:after="0" w:afterAutospacing="0"/>
              <w:ind w:left="0" w:right="0"/>
              <w:jc w:val="left"/>
              <w:rPr>
                <w:rFonts w:hint="default"/>
                <w:b/>
                <w:bCs/>
                <w:color w:val="auto"/>
                <w:kern w:val="0"/>
                <w:szCs w:val="21"/>
              </w:rPr>
            </w:pPr>
            <w:r>
              <w:rPr>
                <w:rFonts w:hint="default"/>
                <w:b/>
                <w:bCs/>
                <w:color w:val="auto"/>
                <w:kern w:val="0"/>
              </w:rPr>
              <w:t>3.</w:t>
            </w:r>
            <w:r>
              <w:rPr>
                <w:rFonts w:hint="eastAsia" w:ascii="宋体" w:hAnsi="宋体"/>
                <w:b/>
                <w:bCs/>
                <w:color w:val="auto"/>
                <w:kern w:val="0"/>
              </w:rPr>
              <w:t xml:space="preserve"> 记录及监测档案的完整性</w:t>
            </w:r>
            <w:r>
              <w:rPr>
                <w:rFonts w:hint="eastAsia"/>
                <w:b/>
                <w:bCs/>
                <w:color w:val="auto"/>
                <w:kern w:val="0"/>
              </w:rPr>
              <w:t>（</w:t>
            </w:r>
            <w:r>
              <w:rPr>
                <w:rFonts w:hint="eastAsia"/>
                <w:b/>
                <w:bCs/>
                <w:color w:val="auto"/>
                <w:kern w:val="0"/>
                <w:lang w:val="en-US" w:eastAsia="zh-CN"/>
              </w:rPr>
              <w:t>13.5</w:t>
            </w:r>
            <w:r>
              <w:rPr>
                <w:rFonts w:hint="eastAsia"/>
                <w:b/>
                <w:bCs/>
                <w:color w:val="auto"/>
                <w:kern w:val="0"/>
              </w:rPr>
              <w:t>分）</w:t>
            </w:r>
          </w:p>
        </w:tc>
        <w:tc>
          <w:tcPr>
            <w:tcW w:w="5400" w:type="dxa"/>
            <w:gridSpan w:val="2"/>
            <w:vAlign w:val="center"/>
          </w:tcPr>
          <w:p w14:paraId="095E0799">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按规定对设备巡检维护，填写巡检记录</w:t>
            </w:r>
          </w:p>
        </w:tc>
        <w:tc>
          <w:tcPr>
            <w:tcW w:w="1080" w:type="dxa"/>
            <w:vAlign w:val="center"/>
          </w:tcPr>
          <w:p w14:paraId="749F46C7">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1.5</w:t>
            </w:r>
          </w:p>
        </w:tc>
        <w:tc>
          <w:tcPr>
            <w:tcW w:w="1440" w:type="dxa"/>
            <w:vAlign w:val="center"/>
          </w:tcPr>
          <w:p w14:paraId="300EA6D0">
            <w:pPr>
              <w:snapToGrid w:val="0"/>
              <w:spacing w:before="0" w:beforeAutospacing="0" w:after="0" w:afterAutospacing="0"/>
              <w:ind w:left="0" w:right="0"/>
              <w:rPr>
                <w:rFonts w:hint="default"/>
                <w:color w:val="auto"/>
                <w:szCs w:val="21"/>
              </w:rPr>
            </w:pPr>
          </w:p>
        </w:tc>
        <w:tc>
          <w:tcPr>
            <w:tcW w:w="720" w:type="dxa"/>
            <w:vAlign w:val="center"/>
          </w:tcPr>
          <w:p w14:paraId="3CB57943">
            <w:pPr>
              <w:adjustRightInd w:val="0"/>
              <w:snapToGrid w:val="0"/>
              <w:spacing w:before="0" w:beforeAutospacing="0" w:after="0" w:afterAutospacing="0"/>
              <w:ind w:left="0" w:right="0"/>
              <w:jc w:val="center"/>
              <w:rPr>
                <w:rFonts w:hint="default"/>
                <w:color w:val="auto"/>
                <w:kern w:val="0"/>
                <w:szCs w:val="21"/>
              </w:rPr>
            </w:pPr>
          </w:p>
        </w:tc>
      </w:tr>
      <w:tr w14:paraId="5855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7F77C510">
            <w:pPr>
              <w:widowControl/>
              <w:spacing w:before="0" w:beforeAutospacing="0" w:after="0" w:afterAutospacing="0"/>
              <w:ind w:left="0" w:right="0"/>
              <w:jc w:val="left"/>
              <w:rPr>
                <w:rFonts w:hint="default"/>
                <w:b/>
                <w:bCs/>
                <w:color w:val="auto"/>
                <w:kern w:val="0"/>
                <w:szCs w:val="21"/>
              </w:rPr>
            </w:pPr>
          </w:p>
        </w:tc>
        <w:tc>
          <w:tcPr>
            <w:tcW w:w="5400" w:type="dxa"/>
            <w:gridSpan w:val="2"/>
            <w:vAlign w:val="center"/>
          </w:tcPr>
          <w:p w14:paraId="7BB43818">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用于校准的设备（流量计、温度计、大气压计）是否每年通过计量检定</w:t>
            </w:r>
            <w:r>
              <w:rPr>
                <w:rFonts w:hint="default"/>
                <w:color w:val="auto"/>
                <w:kern w:val="0"/>
              </w:rPr>
              <w:t xml:space="preserve"> </w:t>
            </w:r>
          </w:p>
        </w:tc>
        <w:tc>
          <w:tcPr>
            <w:tcW w:w="1080" w:type="dxa"/>
            <w:vAlign w:val="center"/>
          </w:tcPr>
          <w:p w14:paraId="7E5C8818">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1.5</w:t>
            </w:r>
          </w:p>
        </w:tc>
        <w:tc>
          <w:tcPr>
            <w:tcW w:w="1440" w:type="dxa"/>
            <w:vAlign w:val="center"/>
          </w:tcPr>
          <w:p w14:paraId="3B754115">
            <w:pPr>
              <w:snapToGrid w:val="0"/>
              <w:spacing w:before="0" w:beforeAutospacing="0" w:after="0" w:afterAutospacing="0"/>
              <w:ind w:left="0" w:right="0"/>
              <w:rPr>
                <w:rFonts w:hint="default"/>
                <w:color w:val="auto"/>
                <w:szCs w:val="21"/>
              </w:rPr>
            </w:pPr>
            <w:r>
              <w:rPr>
                <w:rFonts w:hint="eastAsia"/>
                <w:color w:val="auto"/>
              </w:rPr>
              <w:t>一项不满足扣</w:t>
            </w:r>
            <w:r>
              <w:rPr>
                <w:rFonts w:hint="eastAsia"/>
                <w:color w:val="auto"/>
                <w:lang w:val="en-US" w:eastAsia="zh-CN"/>
              </w:rPr>
              <w:t>1.5</w:t>
            </w:r>
            <w:r>
              <w:rPr>
                <w:rFonts w:hint="eastAsia"/>
                <w:color w:val="auto"/>
              </w:rPr>
              <w:t>分</w:t>
            </w:r>
          </w:p>
        </w:tc>
        <w:tc>
          <w:tcPr>
            <w:tcW w:w="720" w:type="dxa"/>
            <w:vAlign w:val="center"/>
          </w:tcPr>
          <w:p w14:paraId="17330BD4">
            <w:pPr>
              <w:adjustRightInd w:val="0"/>
              <w:snapToGrid w:val="0"/>
              <w:spacing w:before="0" w:beforeAutospacing="0" w:after="0" w:afterAutospacing="0"/>
              <w:ind w:left="0" w:right="0"/>
              <w:jc w:val="center"/>
              <w:rPr>
                <w:rFonts w:hint="default"/>
                <w:color w:val="auto"/>
                <w:kern w:val="0"/>
                <w:szCs w:val="21"/>
              </w:rPr>
            </w:pPr>
          </w:p>
        </w:tc>
      </w:tr>
      <w:tr w14:paraId="482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22A695CF">
            <w:pPr>
              <w:widowControl/>
              <w:spacing w:before="0" w:beforeAutospacing="0" w:after="0" w:afterAutospacing="0"/>
              <w:ind w:left="0" w:right="0"/>
              <w:jc w:val="left"/>
              <w:rPr>
                <w:rFonts w:hint="default"/>
                <w:b/>
                <w:bCs/>
                <w:color w:val="auto"/>
                <w:kern w:val="0"/>
                <w:szCs w:val="21"/>
              </w:rPr>
            </w:pPr>
          </w:p>
        </w:tc>
        <w:tc>
          <w:tcPr>
            <w:tcW w:w="5400" w:type="dxa"/>
            <w:gridSpan w:val="2"/>
            <w:vAlign w:val="center"/>
          </w:tcPr>
          <w:p w14:paraId="356270B6">
            <w:pPr>
              <w:adjustRightInd w:val="0"/>
              <w:snapToGrid w:val="0"/>
              <w:spacing w:before="0" w:beforeAutospacing="0" w:after="0" w:afterAutospacing="0"/>
              <w:ind w:left="0" w:right="0"/>
              <w:jc w:val="left"/>
              <w:rPr>
                <w:rFonts w:hint="default"/>
                <w:color w:val="auto"/>
                <w:kern w:val="0"/>
              </w:rPr>
            </w:pPr>
            <w:r>
              <w:rPr>
                <w:rFonts w:hint="eastAsia"/>
                <w:color w:val="auto"/>
                <w:kern w:val="0"/>
              </w:rPr>
              <w:t>非甲烷总烃监测项目质控校准记录（包括零跨、流量、多点校准、稳定性、准确性及检出限等）零跨</w:t>
            </w:r>
            <w:r>
              <w:rPr>
                <w:rFonts w:hint="default"/>
                <w:color w:val="auto"/>
                <w:kern w:val="0"/>
              </w:rPr>
              <w:t>1</w:t>
            </w:r>
            <w:r>
              <w:rPr>
                <w:rFonts w:hint="eastAsia"/>
                <w:color w:val="auto"/>
                <w:kern w:val="0"/>
              </w:rPr>
              <w:t>次</w:t>
            </w:r>
            <w:r>
              <w:rPr>
                <w:rFonts w:hint="default"/>
                <w:color w:val="auto"/>
                <w:kern w:val="0"/>
              </w:rPr>
              <w:t>/</w:t>
            </w:r>
            <w:r>
              <w:rPr>
                <w:rFonts w:hint="eastAsia"/>
                <w:color w:val="auto"/>
                <w:kern w:val="0"/>
              </w:rPr>
              <w:t>周，流量</w:t>
            </w:r>
            <w:r>
              <w:rPr>
                <w:rFonts w:hint="default"/>
                <w:color w:val="auto"/>
                <w:kern w:val="0"/>
              </w:rPr>
              <w:t>1</w:t>
            </w:r>
            <w:r>
              <w:rPr>
                <w:rFonts w:hint="eastAsia"/>
                <w:color w:val="auto"/>
                <w:kern w:val="0"/>
              </w:rPr>
              <w:t>次</w:t>
            </w:r>
            <w:r>
              <w:rPr>
                <w:rFonts w:hint="default"/>
                <w:color w:val="auto"/>
                <w:kern w:val="0"/>
              </w:rPr>
              <w:t>/</w:t>
            </w:r>
            <w:r>
              <w:rPr>
                <w:rFonts w:hint="eastAsia"/>
                <w:color w:val="auto"/>
                <w:kern w:val="0"/>
              </w:rPr>
              <w:t>月，多点</w:t>
            </w:r>
            <w:r>
              <w:rPr>
                <w:rFonts w:hint="default"/>
                <w:color w:val="auto"/>
                <w:kern w:val="0"/>
              </w:rPr>
              <w:t>1</w:t>
            </w:r>
            <w:r>
              <w:rPr>
                <w:rFonts w:hint="eastAsia"/>
                <w:color w:val="auto"/>
                <w:kern w:val="0"/>
              </w:rPr>
              <w:t>次</w:t>
            </w:r>
            <w:r>
              <w:rPr>
                <w:rFonts w:hint="default"/>
                <w:color w:val="auto"/>
                <w:kern w:val="0"/>
              </w:rPr>
              <w:t>/</w:t>
            </w:r>
            <w:r>
              <w:rPr>
                <w:rFonts w:hint="eastAsia"/>
                <w:color w:val="auto"/>
                <w:kern w:val="0"/>
              </w:rPr>
              <w:t>半年，稳定性、准确性及检出限/年；</w:t>
            </w:r>
          </w:p>
        </w:tc>
        <w:tc>
          <w:tcPr>
            <w:tcW w:w="1080" w:type="dxa"/>
            <w:vAlign w:val="center"/>
          </w:tcPr>
          <w:p w14:paraId="1756ED96">
            <w:pPr>
              <w:adjustRightInd w:val="0"/>
              <w:snapToGrid w:val="0"/>
              <w:spacing w:before="0" w:beforeAutospacing="0" w:after="0" w:afterAutospacing="0"/>
              <w:ind w:left="0" w:right="0"/>
              <w:jc w:val="center"/>
              <w:rPr>
                <w:rFonts w:hint="eastAsia" w:eastAsia="宋体"/>
                <w:color w:val="auto"/>
                <w:kern w:val="0"/>
                <w:lang w:eastAsia="zh-CN"/>
              </w:rPr>
            </w:pPr>
            <w:r>
              <w:rPr>
                <w:rFonts w:hint="eastAsia"/>
                <w:color w:val="auto"/>
                <w:kern w:val="0"/>
                <w:lang w:val="en-US" w:eastAsia="zh-CN"/>
              </w:rPr>
              <w:t>3</w:t>
            </w:r>
          </w:p>
        </w:tc>
        <w:tc>
          <w:tcPr>
            <w:tcW w:w="1440" w:type="dxa"/>
            <w:vAlign w:val="center"/>
          </w:tcPr>
          <w:p w14:paraId="360C685F">
            <w:pPr>
              <w:snapToGrid w:val="0"/>
              <w:spacing w:before="0" w:beforeAutospacing="0" w:after="0" w:afterAutospacing="0"/>
              <w:ind w:left="0" w:right="0"/>
              <w:rPr>
                <w:rFonts w:hint="default"/>
                <w:color w:val="auto"/>
              </w:rPr>
            </w:pPr>
            <w:r>
              <w:rPr>
                <w:rFonts w:hint="eastAsia"/>
                <w:color w:val="auto"/>
              </w:rPr>
              <w:t>缺一项扣</w:t>
            </w:r>
            <w:r>
              <w:rPr>
                <w:rFonts w:hint="eastAsia"/>
                <w:color w:val="auto"/>
                <w:lang w:val="en-US" w:eastAsia="zh-CN"/>
              </w:rPr>
              <w:t>3</w:t>
            </w:r>
            <w:r>
              <w:rPr>
                <w:rFonts w:hint="eastAsia"/>
                <w:color w:val="auto"/>
              </w:rPr>
              <w:t>分</w:t>
            </w:r>
          </w:p>
        </w:tc>
        <w:tc>
          <w:tcPr>
            <w:tcW w:w="720" w:type="dxa"/>
            <w:vAlign w:val="center"/>
          </w:tcPr>
          <w:p w14:paraId="45583D3C">
            <w:pPr>
              <w:adjustRightInd w:val="0"/>
              <w:snapToGrid w:val="0"/>
              <w:spacing w:before="0" w:beforeAutospacing="0" w:after="0" w:afterAutospacing="0"/>
              <w:ind w:left="0" w:right="0"/>
              <w:jc w:val="center"/>
              <w:rPr>
                <w:rFonts w:hint="default"/>
                <w:color w:val="auto"/>
                <w:kern w:val="0"/>
                <w:szCs w:val="21"/>
              </w:rPr>
            </w:pPr>
          </w:p>
        </w:tc>
      </w:tr>
      <w:tr w14:paraId="207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47429095">
            <w:pPr>
              <w:widowControl/>
              <w:spacing w:before="0" w:beforeAutospacing="0" w:after="0" w:afterAutospacing="0"/>
              <w:ind w:left="0" w:right="0"/>
              <w:jc w:val="left"/>
              <w:rPr>
                <w:rFonts w:hint="default"/>
                <w:b/>
                <w:bCs/>
                <w:color w:val="auto"/>
                <w:kern w:val="0"/>
                <w:szCs w:val="21"/>
              </w:rPr>
            </w:pPr>
          </w:p>
        </w:tc>
        <w:tc>
          <w:tcPr>
            <w:tcW w:w="5400" w:type="dxa"/>
            <w:gridSpan w:val="2"/>
            <w:vAlign w:val="center"/>
          </w:tcPr>
          <w:p w14:paraId="66D8AD3D">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采样总管清洁记录、采样支管管清洁记录、设备维修记录、耗品耗材更换记录</w:t>
            </w:r>
          </w:p>
        </w:tc>
        <w:tc>
          <w:tcPr>
            <w:tcW w:w="1080" w:type="dxa"/>
            <w:vAlign w:val="center"/>
          </w:tcPr>
          <w:p w14:paraId="70CFC1C6">
            <w:pPr>
              <w:adjustRightInd w:val="0"/>
              <w:snapToGrid w:val="0"/>
              <w:spacing w:before="0" w:beforeAutospacing="0" w:after="0" w:afterAutospacing="0"/>
              <w:ind w:left="0" w:right="0"/>
              <w:jc w:val="center"/>
              <w:rPr>
                <w:rFonts w:hint="eastAsia" w:eastAsia="宋体"/>
                <w:color w:val="auto"/>
                <w:kern w:val="0"/>
                <w:szCs w:val="21"/>
                <w:lang w:eastAsia="zh-CN"/>
              </w:rPr>
            </w:pPr>
            <w:r>
              <w:rPr>
                <w:rFonts w:hint="eastAsia"/>
                <w:color w:val="auto"/>
                <w:kern w:val="0"/>
                <w:lang w:val="en-US" w:eastAsia="zh-CN"/>
              </w:rPr>
              <w:t>3</w:t>
            </w:r>
          </w:p>
        </w:tc>
        <w:tc>
          <w:tcPr>
            <w:tcW w:w="1440" w:type="dxa"/>
            <w:vAlign w:val="center"/>
          </w:tcPr>
          <w:p w14:paraId="60BA7497">
            <w:pPr>
              <w:snapToGrid w:val="0"/>
              <w:spacing w:before="0" w:beforeAutospacing="0" w:after="0" w:afterAutospacing="0"/>
              <w:ind w:left="0" w:right="0"/>
              <w:rPr>
                <w:rFonts w:hint="default"/>
                <w:color w:val="auto"/>
                <w:szCs w:val="21"/>
              </w:rPr>
            </w:pPr>
            <w:r>
              <w:rPr>
                <w:rFonts w:hint="eastAsia"/>
                <w:color w:val="auto"/>
              </w:rPr>
              <w:t>缺一项扣</w:t>
            </w:r>
            <w:r>
              <w:rPr>
                <w:rFonts w:hint="eastAsia"/>
                <w:color w:val="auto"/>
                <w:lang w:val="en-US" w:eastAsia="zh-CN"/>
              </w:rPr>
              <w:t>1</w:t>
            </w:r>
            <w:r>
              <w:rPr>
                <w:rFonts w:hint="eastAsia"/>
                <w:color w:val="auto"/>
              </w:rPr>
              <w:t>分</w:t>
            </w:r>
          </w:p>
        </w:tc>
        <w:tc>
          <w:tcPr>
            <w:tcW w:w="720" w:type="dxa"/>
            <w:vAlign w:val="center"/>
          </w:tcPr>
          <w:p w14:paraId="0BAA932C">
            <w:pPr>
              <w:adjustRightInd w:val="0"/>
              <w:snapToGrid w:val="0"/>
              <w:spacing w:before="0" w:beforeAutospacing="0" w:after="0" w:afterAutospacing="0"/>
              <w:ind w:left="0" w:right="0"/>
              <w:jc w:val="center"/>
              <w:rPr>
                <w:rFonts w:hint="default"/>
                <w:color w:val="auto"/>
                <w:kern w:val="0"/>
                <w:szCs w:val="21"/>
              </w:rPr>
            </w:pPr>
          </w:p>
        </w:tc>
      </w:tr>
      <w:tr w14:paraId="0405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vMerge w:val="continue"/>
            <w:vAlign w:val="center"/>
          </w:tcPr>
          <w:p w14:paraId="2B48A0B1">
            <w:pPr>
              <w:widowControl/>
              <w:spacing w:before="0" w:beforeAutospacing="0" w:after="0" w:afterAutospacing="0"/>
              <w:ind w:left="0" w:right="0"/>
              <w:jc w:val="left"/>
              <w:rPr>
                <w:rFonts w:hint="default"/>
                <w:b/>
                <w:bCs/>
                <w:color w:val="auto"/>
                <w:kern w:val="0"/>
                <w:szCs w:val="21"/>
              </w:rPr>
            </w:pPr>
          </w:p>
        </w:tc>
        <w:tc>
          <w:tcPr>
            <w:tcW w:w="5400" w:type="dxa"/>
            <w:gridSpan w:val="2"/>
            <w:vAlign w:val="center"/>
          </w:tcPr>
          <w:p w14:paraId="125F5438">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上述各项记录与工控机中数据是否一致</w:t>
            </w:r>
          </w:p>
        </w:tc>
        <w:tc>
          <w:tcPr>
            <w:tcW w:w="1080" w:type="dxa"/>
            <w:vAlign w:val="center"/>
          </w:tcPr>
          <w:p w14:paraId="1A6D86A6">
            <w:pPr>
              <w:adjustRightInd w:val="0"/>
              <w:snapToGrid w:val="0"/>
              <w:spacing w:before="0" w:beforeAutospacing="0" w:after="0" w:afterAutospacing="0"/>
              <w:ind w:left="0" w:right="0"/>
              <w:jc w:val="center"/>
              <w:rPr>
                <w:rFonts w:hint="eastAsia" w:eastAsia="宋体"/>
                <w:color w:val="auto"/>
                <w:kern w:val="0"/>
                <w:szCs w:val="21"/>
                <w:lang w:eastAsia="zh-CN"/>
              </w:rPr>
            </w:pPr>
            <w:r>
              <w:rPr>
                <w:rFonts w:hint="eastAsia"/>
                <w:color w:val="auto"/>
                <w:kern w:val="0"/>
                <w:lang w:val="en-US" w:eastAsia="zh-CN"/>
              </w:rPr>
              <w:t>3</w:t>
            </w:r>
          </w:p>
        </w:tc>
        <w:tc>
          <w:tcPr>
            <w:tcW w:w="1440" w:type="dxa"/>
            <w:vAlign w:val="center"/>
          </w:tcPr>
          <w:p w14:paraId="663C8748">
            <w:pPr>
              <w:snapToGrid w:val="0"/>
              <w:spacing w:before="0" w:beforeAutospacing="0" w:after="0" w:afterAutospacing="0"/>
              <w:ind w:left="0" w:right="0"/>
              <w:rPr>
                <w:rFonts w:hint="default"/>
                <w:color w:val="auto"/>
                <w:szCs w:val="21"/>
              </w:rPr>
            </w:pPr>
          </w:p>
        </w:tc>
        <w:tc>
          <w:tcPr>
            <w:tcW w:w="720" w:type="dxa"/>
            <w:vAlign w:val="center"/>
          </w:tcPr>
          <w:p w14:paraId="43DE72A3">
            <w:pPr>
              <w:adjustRightInd w:val="0"/>
              <w:snapToGrid w:val="0"/>
              <w:spacing w:before="0" w:beforeAutospacing="0" w:after="0" w:afterAutospacing="0"/>
              <w:ind w:left="0" w:right="0"/>
              <w:jc w:val="center"/>
              <w:rPr>
                <w:rFonts w:hint="default"/>
                <w:color w:val="auto"/>
                <w:kern w:val="0"/>
                <w:szCs w:val="21"/>
              </w:rPr>
            </w:pPr>
          </w:p>
        </w:tc>
      </w:tr>
      <w:tr w14:paraId="2FFD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14:paraId="578F7CB3">
            <w:pPr>
              <w:widowControl/>
              <w:spacing w:before="0" w:beforeAutospacing="0" w:after="0" w:afterAutospacing="0"/>
              <w:ind w:left="0" w:right="0"/>
              <w:jc w:val="left"/>
              <w:rPr>
                <w:rFonts w:hint="default"/>
                <w:b/>
                <w:bCs/>
                <w:color w:val="auto"/>
                <w:kern w:val="0"/>
                <w:szCs w:val="21"/>
              </w:rPr>
            </w:pPr>
          </w:p>
        </w:tc>
        <w:tc>
          <w:tcPr>
            <w:tcW w:w="5400" w:type="dxa"/>
            <w:gridSpan w:val="2"/>
            <w:vAlign w:val="center"/>
          </w:tcPr>
          <w:p w14:paraId="6F765ADC">
            <w:pPr>
              <w:adjustRightInd w:val="0"/>
              <w:snapToGrid w:val="0"/>
              <w:spacing w:before="0" w:beforeAutospacing="0" w:after="0" w:afterAutospacing="0"/>
              <w:ind w:left="0" w:right="0"/>
              <w:jc w:val="left"/>
              <w:rPr>
                <w:rFonts w:hint="default"/>
                <w:color w:val="auto"/>
                <w:kern w:val="0"/>
                <w:szCs w:val="21"/>
              </w:rPr>
            </w:pPr>
            <w:r>
              <w:rPr>
                <w:rFonts w:hint="default"/>
                <w:color w:val="auto"/>
                <w:kern w:val="0"/>
              </w:rPr>
              <w:t xml:space="preserve"> </w:t>
            </w:r>
            <w:r>
              <w:rPr>
                <w:rFonts w:hint="eastAsia"/>
                <w:color w:val="auto"/>
                <w:kern w:val="0"/>
              </w:rPr>
              <w:t>监测设备档案（包括设备使用说明、操作手册、维修记录、使用情况、年度自检报告等）</w:t>
            </w:r>
          </w:p>
        </w:tc>
        <w:tc>
          <w:tcPr>
            <w:tcW w:w="1080" w:type="dxa"/>
            <w:vAlign w:val="center"/>
          </w:tcPr>
          <w:p w14:paraId="7868B153">
            <w:pPr>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lang w:val="en-US" w:eastAsia="zh-CN"/>
              </w:rPr>
              <w:t>1.5</w:t>
            </w:r>
          </w:p>
        </w:tc>
        <w:tc>
          <w:tcPr>
            <w:tcW w:w="1440" w:type="dxa"/>
            <w:vAlign w:val="center"/>
          </w:tcPr>
          <w:p w14:paraId="6FE104D0">
            <w:pPr>
              <w:snapToGrid w:val="0"/>
              <w:spacing w:before="0" w:beforeAutospacing="0" w:after="0" w:afterAutospacing="0"/>
              <w:ind w:left="0" w:right="0"/>
              <w:rPr>
                <w:rFonts w:hint="default"/>
                <w:color w:val="auto"/>
                <w:szCs w:val="21"/>
              </w:rPr>
            </w:pPr>
            <w:r>
              <w:rPr>
                <w:rFonts w:hint="eastAsia"/>
                <w:color w:val="auto"/>
              </w:rPr>
              <w:t>缺一项扣</w:t>
            </w:r>
            <w:r>
              <w:rPr>
                <w:rFonts w:hint="default"/>
                <w:color w:val="auto"/>
              </w:rPr>
              <w:t>0.</w:t>
            </w:r>
            <w:r>
              <w:rPr>
                <w:rFonts w:hint="eastAsia"/>
                <w:color w:val="auto"/>
                <w:lang w:val="en-US" w:eastAsia="zh-CN"/>
              </w:rPr>
              <w:t>5</w:t>
            </w:r>
            <w:r>
              <w:rPr>
                <w:rFonts w:hint="eastAsia"/>
                <w:color w:val="auto"/>
              </w:rPr>
              <w:t>分</w:t>
            </w:r>
          </w:p>
        </w:tc>
        <w:tc>
          <w:tcPr>
            <w:tcW w:w="720" w:type="dxa"/>
            <w:vAlign w:val="center"/>
          </w:tcPr>
          <w:p w14:paraId="40014F30">
            <w:pPr>
              <w:adjustRightInd w:val="0"/>
              <w:snapToGrid w:val="0"/>
              <w:spacing w:before="0" w:beforeAutospacing="0" w:after="0" w:afterAutospacing="0"/>
              <w:ind w:left="0" w:right="0"/>
              <w:jc w:val="center"/>
              <w:rPr>
                <w:rFonts w:hint="default"/>
                <w:color w:val="auto"/>
                <w:kern w:val="0"/>
                <w:szCs w:val="21"/>
              </w:rPr>
            </w:pPr>
          </w:p>
        </w:tc>
      </w:tr>
      <w:tr w14:paraId="7283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80" w:type="dxa"/>
            <w:vAlign w:val="center"/>
          </w:tcPr>
          <w:p w14:paraId="7E2F2F7E">
            <w:pPr>
              <w:adjustRightInd w:val="0"/>
              <w:snapToGrid w:val="0"/>
              <w:spacing w:before="0" w:beforeAutospacing="0" w:after="0" w:afterAutospacing="0"/>
              <w:ind w:left="0" w:right="0"/>
              <w:jc w:val="left"/>
              <w:rPr>
                <w:rFonts w:hint="default"/>
                <w:b/>
                <w:bCs/>
                <w:color w:val="auto"/>
                <w:kern w:val="0"/>
                <w:szCs w:val="21"/>
              </w:rPr>
            </w:pPr>
            <w:r>
              <w:rPr>
                <w:rFonts w:hint="eastAsia" w:cs="Times New Roman"/>
                <w:b/>
                <w:bCs/>
                <w:color w:val="auto"/>
                <w:kern w:val="0"/>
                <w:lang w:val="en-US" w:eastAsia="zh-CN"/>
              </w:rPr>
              <w:t>4</w:t>
            </w:r>
            <w:r>
              <w:rPr>
                <w:rFonts w:hint="eastAsia" w:ascii="Times New Roman" w:hAnsi="Times New Roman" w:eastAsia="宋体" w:cs="Times New Roman"/>
                <w:b/>
                <w:bCs/>
                <w:color w:val="auto"/>
                <w:kern w:val="0"/>
                <w:lang w:val="en-US" w:eastAsia="zh-CN"/>
              </w:rPr>
              <w:t>.</w:t>
            </w:r>
            <w:r>
              <w:rPr>
                <w:rFonts w:hint="eastAsia" w:ascii="Times New Roman" w:hAnsi="Times New Roman" w:eastAsia="宋体" w:cs="Times New Roman"/>
                <w:b/>
                <w:bCs/>
                <w:color w:val="auto"/>
                <w:kern w:val="0"/>
              </w:rPr>
              <w:t>数据</w:t>
            </w:r>
            <w:r>
              <w:rPr>
                <w:rFonts w:hint="eastAsia" w:ascii="Times New Roman" w:hAnsi="Times New Roman" w:cs="Times New Roman"/>
                <w:b/>
                <w:bCs/>
                <w:color w:val="auto"/>
                <w:kern w:val="0"/>
                <w:lang w:val="en-US" w:eastAsia="zh-CN"/>
              </w:rPr>
              <w:t>入库率</w:t>
            </w:r>
            <w:r>
              <w:rPr>
                <w:rFonts w:hint="eastAsia" w:ascii="Times New Roman" w:hAnsi="Times New Roman" w:eastAsia="宋体" w:cs="Times New Roman"/>
                <w:b/>
                <w:bCs/>
                <w:color w:val="auto"/>
                <w:kern w:val="0"/>
                <w:lang w:eastAsia="zh-CN"/>
              </w:rPr>
              <w:t>（</w:t>
            </w:r>
            <w:r>
              <w:rPr>
                <w:rFonts w:hint="eastAsia" w:ascii="Times New Roman" w:hAnsi="Times New Roman" w:cs="Times New Roman"/>
                <w:b/>
                <w:bCs/>
                <w:color w:val="auto"/>
                <w:kern w:val="0"/>
                <w:lang w:val="en-US" w:eastAsia="zh-CN"/>
              </w:rPr>
              <w:t>5</w:t>
            </w:r>
            <w:r>
              <w:rPr>
                <w:rFonts w:hint="eastAsia" w:ascii="Times New Roman" w:hAnsi="Times New Roman" w:eastAsia="宋体" w:cs="Times New Roman"/>
                <w:b/>
                <w:bCs/>
                <w:color w:val="auto"/>
                <w:kern w:val="0"/>
                <w:lang w:val="en-US" w:eastAsia="zh-CN"/>
              </w:rPr>
              <w:t>0分</w:t>
            </w:r>
            <w:r>
              <w:rPr>
                <w:rFonts w:hint="eastAsia" w:ascii="Times New Roman" w:hAnsi="Times New Roman" w:eastAsia="宋体" w:cs="Times New Roman"/>
                <w:b/>
                <w:bCs/>
                <w:color w:val="auto"/>
                <w:kern w:val="0"/>
                <w:lang w:eastAsia="zh-CN"/>
              </w:rPr>
              <w:t>）</w:t>
            </w:r>
          </w:p>
        </w:tc>
        <w:tc>
          <w:tcPr>
            <w:tcW w:w="5400" w:type="dxa"/>
            <w:gridSpan w:val="2"/>
            <w:vAlign w:val="center"/>
          </w:tcPr>
          <w:p w14:paraId="02B77000">
            <w:pPr>
              <w:adjustRightInd w:val="0"/>
              <w:snapToGrid w:val="0"/>
              <w:spacing w:before="0" w:beforeAutospacing="0" w:after="0" w:afterAutospacing="0"/>
              <w:ind w:left="0" w:right="0"/>
              <w:jc w:val="left"/>
              <w:rPr>
                <w:rFonts w:hint="eastAsia" w:eastAsia="宋体"/>
                <w:color w:val="auto"/>
                <w:kern w:val="0"/>
                <w:lang w:eastAsia="zh-CN"/>
              </w:rPr>
            </w:pPr>
            <w:r>
              <w:rPr>
                <w:rFonts w:hint="eastAsia" w:ascii="Times New Roman" w:hAnsi="Times New Roman" w:cs="Times New Roman"/>
                <w:color w:val="auto"/>
                <w:kern w:val="0"/>
                <w:lang w:val="en-US" w:eastAsia="zh-CN"/>
              </w:rPr>
              <w:t>每季度</w:t>
            </w:r>
            <w:r>
              <w:rPr>
                <w:rFonts w:hint="eastAsia" w:ascii="Times New Roman" w:hAnsi="Times New Roman" w:eastAsia="宋体"/>
                <w:color w:val="auto"/>
                <w:kern w:val="0"/>
                <w:sz w:val="21"/>
                <w:szCs w:val="20"/>
                <w:lang w:val="en-US" w:eastAsia="zh-CN"/>
              </w:rPr>
              <w:t>单站直连国家实时数据和审核数据的入库率</w:t>
            </w:r>
            <w:r>
              <w:rPr>
                <w:rFonts w:hint="eastAsia" w:ascii="Times New Roman" w:hAnsi="Times New Roman" w:eastAsia="宋体" w:cs="Times New Roman"/>
                <w:color w:val="auto"/>
                <w:kern w:val="0"/>
              </w:rPr>
              <w:t>≥9</w:t>
            </w: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rPr>
              <w:t>%</w:t>
            </w:r>
            <w:r>
              <w:rPr>
                <w:rFonts w:hint="eastAsia" w:ascii="Times New Roman" w:hAnsi="Times New Roman" w:cs="Times New Roman"/>
                <w:color w:val="auto"/>
                <w:kern w:val="0"/>
                <w:lang w:eastAsia="zh-CN"/>
              </w:rPr>
              <w:t>，</w:t>
            </w:r>
            <w:r>
              <w:rPr>
                <w:rFonts w:hint="eastAsia" w:ascii="Times New Roman" w:hAnsi="Times New Roman" w:eastAsia="宋体"/>
                <w:color w:val="auto"/>
                <w:kern w:val="0"/>
                <w:sz w:val="21"/>
                <w:szCs w:val="20"/>
                <w:lang w:val="en-US" w:eastAsia="zh-CN"/>
              </w:rPr>
              <w:t>入库率</w:t>
            </w:r>
            <w:r>
              <w:rPr>
                <w:rFonts w:hint="eastAsia" w:ascii="Times New Roman" w:hAnsi="Times New Roman" w:cs="Times New Roman"/>
                <w:color w:val="auto"/>
                <w:kern w:val="0"/>
                <w:lang w:val="en-US" w:eastAsia="zh-CN"/>
              </w:rPr>
              <w:t>每降低1%，扣10分，扣完为止</w:t>
            </w:r>
            <w:r>
              <w:rPr>
                <w:rFonts w:hint="eastAsia" w:ascii="Times New Roman" w:hAnsi="Times New Roman" w:cs="Times New Roman"/>
                <w:color w:val="auto"/>
                <w:kern w:val="0"/>
                <w:lang w:eastAsia="zh-CN"/>
              </w:rPr>
              <w:t>。</w:t>
            </w:r>
          </w:p>
        </w:tc>
        <w:tc>
          <w:tcPr>
            <w:tcW w:w="1080" w:type="dxa"/>
            <w:vAlign w:val="center"/>
          </w:tcPr>
          <w:p w14:paraId="22C079B7">
            <w:pPr>
              <w:adjustRightInd w:val="0"/>
              <w:snapToGrid w:val="0"/>
              <w:spacing w:before="0" w:beforeAutospacing="0" w:after="0" w:afterAutospacing="0"/>
              <w:ind w:left="0" w:right="0"/>
              <w:jc w:val="center"/>
              <w:rPr>
                <w:rFonts w:hint="default"/>
                <w:color w:val="auto"/>
                <w:kern w:val="0"/>
                <w:lang w:val="en-US"/>
              </w:rPr>
            </w:pPr>
            <w:r>
              <w:rPr>
                <w:rFonts w:hint="eastAsia"/>
                <w:color w:val="auto"/>
                <w:kern w:val="0"/>
                <w:lang w:val="en-US" w:eastAsia="zh-CN"/>
              </w:rPr>
              <w:t>50</w:t>
            </w:r>
          </w:p>
        </w:tc>
        <w:tc>
          <w:tcPr>
            <w:tcW w:w="1440" w:type="dxa"/>
            <w:vAlign w:val="center"/>
          </w:tcPr>
          <w:p w14:paraId="352FCF78">
            <w:pPr>
              <w:snapToGrid w:val="0"/>
              <w:spacing w:before="0" w:beforeAutospacing="0" w:after="0" w:afterAutospacing="0"/>
              <w:ind w:left="0" w:right="0"/>
              <w:rPr>
                <w:rFonts w:hint="eastAsia"/>
                <w:color w:val="auto"/>
              </w:rPr>
            </w:pPr>
          </w:p>
        </w:tc>
        <w:tc>
          <w:tcPr>
            <w:tcW w:w="720" w:type="dxa"/>
            <w:vAlign w:val="center"/>
          </w:tcPr>
          <w:p w14:paraId="0D09DBF1">
            <w:pPr>
              <w:adjustRightInd w:val="0"/>
              <w:snapToGrid w:val="0"/>
              <w:spacing w:before="0" w:beforeAutospacing="0" w:after="0" w:afterAutospacing="0"/>
              <w:ind w:left="0" w:right="0"/>
              <w:jc w:val="center"/>
              <w:rPr>
                <w:rFonts w:hint="default"/>
                <w:color w:val="auto"/>
                <w:kern w:val="0"/>
                <w:szCs w:val="21"/>
              </w:rPr>
            </w:pPr>
          </w:p>
        </w:tc>
      </w:tr>
      <w:tr w14:paraId="0B88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4532BACB">
            <w:pPr>
              <w:adjustRightInd w:val="0"/>
              <w:snapToGrid w:val="0"/>
              <w:spacing w:before="0" w:beforeAutospacing="0" w:after="0" w:afterAutospacing="0"/>
              <w:ind w:left="0" w:right="0"/>
              <w:jc w:val="left"/>
              <w:rPr>
                <w:rFonts w:hint="default"/>
                <w:b/>
                <w:bCs/>
                <w:color w:val="auto"/>
                <w:kern w:val="0"/>
                <w:szCs w:val="21"/>
              </w:rPr>
            </w:pPr>
            <w:r>
              <w:rPr>
                <w:rFonts w:hint="eastAsia"/>
                <w:b/>
                <w:bCs/>
                <w:color w:val="auto"/>
                <w:kern w:val="0"/>
                <w:lang w:val="en-US" w:eastAsia="zh-CN"/>
              </w:rPr>
              <w:t>5</w:t>
            </w:r>
            <w:r>
              <w:rPr>
                <w:rFonts w:hint="default"/>
                <w:b/>
                <w:bCs/>
                <w:color w:val="auto"/>
                <w:kern w:val="0"/>
              </w:rPr>
              <w:t xml:space="preserve">. </w:t>
            </w:r>
            <w:r>
              <w:rPr>
                <w:rFonts w:hint="eastAsia"/>
                <w:b/>
                <w:bCs/>
                <w:color w:val="auto"/>
                <w:kern w:val="0"/>
              </w:rPr>
              <w:t>数据造假</w:t>
            </w:r>
          </w:p>
        </w:tc>
        <w:tc>
          <w:tcPr>
            <w:tcW w:w="5400" w:type="dxa"/>
            <w:gridSpan w:val="2"/>
            <w:vAlign w:val="center"/>
          </w:tcPr>
          <w:p w14:paraId="2F559779">
            <w:pPr>
              <w:adjustRightInd w:val="0"/>
              <w:snapToGrid w:val="0"/>
              <w:spacing w:before="0" w:beforeAutospacing="0" w:after="0" w:afterAutospacing="0"/>
              <w:ind w:left="0" w:right="0"/>
              <w:jc w:val="left"/>
              <w:rPr>
                <w:rFonts w:hint="default"/>
                <w:color w:val="auto"/>
                <w:kern w:val="0"/>
                <w:szCs w:val="21"/>
              </w:rPr>
            </w:pPr>
            <w:r>
              <w:rPr>
                <w:rFonts w:hint="eastAsia"/>
                <w:color w:val="auto"/>
                <w:kern w:val="0"/>
              </w:rPr>
              <w:t>检查过程中如发现有数据造假情况（判定方法按照《环境监测数据弄虚作假处理办法》及实施细则）</w:t>
            </w:r>
          </w:p>
        </w:tc>
        <w:tc>
          <w:tcPr>
            <w:tcW w:w="1080" w:type="dxa"/>
            <w:vAlign w:val="center"/>
          </w:tcPr>
          <w:p w14:paraId="74CFE7DA">
            <w:pPr>
              <w:adjustRightInd w:val="0"/>
              <w:snapToGrid w:val="0"/>
              <w:spacing w:before="0" w:beforeAutospacing="0" w:after="0" w:afterAutospacing="0"/>
              <w:ind w:left="0" w:right="0"/>
              <w:jc w:val="center"/>
              <w:rPr>
                <w:rFonts w:hint="default"/>
                <w:color w:val="auto"/>
                <w:kern w:val="0"/>
                <w:szCs w:val="21"/>
              </w:rPr>
            </w:pPr>
          </w:p>
        </w:tc>
        <w:tc>
          <w:tcPr>
            <w:tcW w:w="1440" w:type="dxa"/>
            <w:vAlign w:val="center"/>
          </w:tcPr>
          <w:p w14:paraId="72E303F8">
            <w:pPr>
              <w:adjustRightInd w:val="0"/>
              <w:snapToGrid w:val="0"/>
              <w:spacing w:before="0" w:beforeAutospacing="0" w:after="0" w:afterAutospacing="0"/>
              <w:ind w:left="0" w:right="0"/>
              <w:jc w:val="center"/>
              <w:rPr>
                <w:rFonts w:hint="default"/>
                <w:color w:val="auto"/>
                <w:kern w:val="0"/>
                <w:szCs w:val="21"/>
              </w:rPr>
            </w:pPr>
            <w:r>
              <w:rPr>
                <w:rFonts w:hint="eastAsia"/>
                <w:color w:val="auto"/>
                <w:kern w:val="0"/>
              </w:rPr>
              <w:t>直接扣</w:t>
            </w:r>
            <w:r>
              <w:rPr>
                <w:rFonts w:hint="eastAsia"/>
                <w:color w:val="auto"/>
                <w:kern w:val="0"/>
                <w:lang w:val="en-US" w:eastAsia="zh-CN"/>
              </w:rPr>
              <w:t>10</w:t>
            </w:r>
            <w:r>
              <w:rPr>
                <w:rFonts w:hint="default"/>
                <w:color w:val="auto"/>
                <w:kern w:val="0"/>
              </w:rPr>
              <w:t>0</w:t>
            </w:r>
            <w:r>
              <w:rPr>
                <w:rFonts w:hint="eastAsia"/>
                <w:color w:val="auto"/>
                <w:kern w:val="0"/>
              </w:rPr>
              <w:t>分</w:t>
            </w:r>
          </w:p>
        </w:tc>
        <w:tc>
          <w:tcPr>
            <w:tcW w:w="720" w:type="dxa"/>
            <w:vAlign w:val="center"/>
          </w:tcPr>
          <w:p w14:paraId="3D9B0A91">
            <w:pPr>
              <w:adjustRightInd w:val="0"/>
              <w:snapToGrid w:val="0"/>
              <w:spacing w:before="0" w:beforeAutospacing="0" w:after="0" w:afterAutospacing="0"/>
              <w:ind w:left="0" w:right="0"/>
              <w:jc w:val="center"/>
              <w:rPr>
                <w:rFonts w:hint="default"/>
                <w:color w:val="auto"/>
                <w:kern w:val="0"/>
                <w:szCs w:val="21"/>
              </w:rPr>
            </w:pPr>
          </w:p>
        </w:tc>
      </w:tr>
      <w:tr w14:paraId="384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1080" w:type="dxa"/>
            <w:vAlign w:val="center"/>
          </w:tcPr>
          <w:p w14:paraId="05733F1E">
            <w:pPr>
              <w:adjustRightInd w:val="0"/>
              <w:snapToGrid w:val="0"/>
              <w:spacing w:before="0" w:beforeAutospacing="0" w:after="0" w:afterAutospacing="0"/>
              <w:ind w:left="0" w:right="0"/>
              <w:jc w:val="left"/>
              <w:rPr>
                <w:rFonts w:hint="default"/>
                <w:b/>
                <w:bCs/>
                <w:color w:val="auto"/>
                <w:kern w:val="0"/>
                <w:szCs w:val="21"/>
              </w:rPr>
            </w:pPr>
            <w:r>
              <w:rPr>
                <w:rFonts w:hint="eastAsia"/>
                <w:b/>
                <w:bCs/>
                <w:color w:val="auto"/>
                <w:kern w:val="0"/>
                <w:lang w:val="en-US" w:eastAsia="zh-CN"/>
              </w:rPr>
              <w:t>6</w:t>
            </w:r>
            <w:r>
              <w:rPr>
                <w:rFonts w:hint="default"/>
                <w:b/>
                <w:bCs/>
                <w:color w:val="auto"/>
                <w:kern w:val="0"/>
              </w:rPr>
              <w:t xml:space="preserve">. </w:t>
            </w:r>
            <w:r>
              <w:rPr>
                <w:rFonts w:hint="eastAsia"/>
                <w:b/>
                <w:bCs/>
                <w:color w:val="auto"/>
                <w:kern w:val="0"/>
              </w:rPr>
              <w:t>其他问题</w:t>
            </w:r>
          </w:p>
        </w:tc>
        <w:tc>
          <w:tcPr>
            <w:tcW w:w="5400" w:type="dxa"/>
            <w:gridSpan w:val="2"/>
            <w:vAlign w:val="center"/>
          </w:tcPr>
          <w:p w14:paraId="6C661DFA">
            <w:pPr>
              <w:adjustRightInd w:val="0"/>
              <w:snapToGrid w:val="0"/>
              <w:spacing w:before="0" w:beforeAutospacing="0" w:after="0" w:afterAutospacing="0"/>
              <w:ind w:left="0" w:right="0"/>
              <w:jc w:val="left"/>
              <w:rPr>
                <w:rFonts w:hint="default"/>
                <w:color w:val="auto"/>
                <w:kern w:val="0"/>
                <w:szCs w:val="21"/>
              </w:rPr>
            </w:pPr>
          </w:p>
          <w:p w14:paraId="52BB9E54">
            <w:pPr>
              <w:adjustRightInd w:val="0"/>
              <w:snapToGrid w:val="0"/>
              <w:spacing w:before="0" w:beforeAutospacing="0" w:after="0" w:afterAutospacing="0"/>
              <w:ind w:left="0" w:right="0"/>
              <w:jc w:val="left"/>
              <w:rPr>
                <w:rFonts w:hint="default"/>
                <w:color w:val="auto"/>
                <w:kern w:val="0"/>
                <w:szCs w:val="21"/>
              </w:rPr>
            </w:pPr>
            <w:r>
              <w:rPr>
                <w:rFonts w:hint="eastAsia" w:ascii="Calibri" w:eastAsia="宋体"/>
                <w:color w:val="auto"/>
                <w:kern w:val="0"/>
                <w:sz w:val="21"/>
                <w:szCs w:val="20"/>
              </w:rPr>
              <w:t>迟报、漏报或不报审核数据的；拖延、阻碍、拒绝质量检查或飞行检查的；发现采样、分析、数据采集和传输等过程人为干扰，未按要求及时向</w:t>
            </w:r>
            <w:r>
              <w:rPr>
                <w:rFonts w:hint="eastAsia" w:ascii="Calibri" w:eastAsia="宋体"/>
                <w:color w:val="auto"/>
                <w:kern w:val="0"/>
                <w:sz w:val="21"/>
                <w:szCs w:val="20"/>
                <w:lang w:val="en-US" w:eastAsia="zh-CN"/>
              </w:rPr>
              <w:t>北海</w:t>
            </w:r>
            <w:r>
              <w:rPr>
                <w:rFonts w:hint="eastAsia" w:ascii="Calibri" w:eastAsia="宋体"/>
                <w:color w:val="auto"/>
                <w:kern w:val="0"/>
                <w:sz w:val="21"/>
                <w:szCs w:val="20"/>
              </w:rPr>
              <w:t>中心报告的；因工作疏漏，未发现采样、分析、数据采集和传输等过程人为干扰的；其他不履行规定职责的情形。</w:t>
            </w:r>
          </w:p>
        </w:tc>
        <w:tc>
          <w:tcPr>
            <w:tcW w:w="1080" w:type="dxa"/>
            <w:vAlign w:val="center"/>
          </w:tcPr>
          <w:p w14:paraId="39ECD2B4">
            <w:pPr>
              <w:adjustRightInd w:val="0"/>
              <w:snapToGrid w:val="0"/>
              <w:spacing w:before="0" w:beforeAutospacing="0" w:after="0" w:afterAutospacing="0"/>
              <w:ind w:left="0" w:right="0"/>
              <w:jc w:val="center"/>
              <w:rPr>
                <w:rFonts w:hint="default" w:eastAsia="宋体"/>
                <w:color w:val="auto"/>
                <w:kern w:val="0"/>
                <w:szCs w:val="21"/>
                <w:lang w:val="en-US" w:eastAsia="zh-CN"/>
              </w:rPr>
            </w:pPr>
          </w:p>
        </w:tc>
        <w:tc>
          <w:tcPr>
            <w:tcW w:w="1440" w:type="dxa"/>
            <w:vAlign w:val="center"/>
          </w:tcPr>
          <w:p w14:paraId="78DBA1BF">
            <w:pPr>
              <w:adjustRightInd w:val="0"/>
              <w:snapToGrid w:val="0"/>
              <w:spacing w:before="0" w:beforeAutospacing="0" w:after="0" w:afterAutospacing="0"/>
              <w:ind w:left="0" w:right="0"/>
              <w:jc w:val="center"/>
              <w:rPr>
                <w:rFonts w:hint="default"/>
                <w:color w:val="auto"/>
                <w:kern w:val="0"/>
                <w:szCs w:val="21"/>
              </w:rPr>
            </w:pPr>
          </w:p>
        </w:tc>
        <w:tc>
          <w:tcPr>
            <w:tcW w:w="720" w:type="dxa"/>
            <w:vAlign w:val="center"/>
          </w:tcPr>
          <w:p w14:paraId="517268EC">
            <w:pPr>
              <w:adjustRightInd w:val="0"/>
              <w:snapToGrid w:val="0"/>
              <w:spacing w:before="0" w:beforeAutospacing="0" w:after="0" w:afterAutospacing="0"/>
              <w:ind w:left="0" w:right="0"/>
              <w:jc w:val="center"/>
              <w:rPr>
                <w:rFonts w:hint="default"/>
                <w:color w:val="auto"/>
                <w:kern w:val="0"/>
                <w:szCs w:val="21"/>
              </w:rPr>
            </w:pPr>
          </w:p>
        </w:tc>
      </w:tr>
      <w:tr w14:paraId="5E4B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480" w:type="dxa"/>
            <w:gridSpan w:val="3"/>
            <w:vAlign w:val="center"/>
          </w:tcPr>
          <w:p w14:paraId="40096DD0">
            <w:pPr>
              <w:adjustRightInd w:val="0"/>
              <w:snapToGrid w:val="0"/>
              <w:spacing w:before="0" w:beforeAutospacing="0" w:after="0" w:afterAutospacing="0"/>
              <w:ind w:left="0" w:right="0"/>
              <w:jc w:val="center"/>
              <w:rPr>
                <w:rFonts w:hint="eastAsia"/>
                <w:color w:val="auto"/>
                <w:kern w:val="0"/>
              </w:rPr>
            </w:pPr>
            <w:r>
              <w:rPr>
                <w:rFonts w:hint="eastAsia"/>
                <w:color w:val="auto"/>
                <w:kern w:val="0"/>
              </w:rPr>
              <w:t>总分</w:t>
            </w:r>
          </w:p>
        </w:tc>
        <w:tc>
          <w:tcPr>
            <w:tcW w:w="1080" w:type="dxa"/>
            <w:vAlign w:val="center"/>
          </w:tcPr>
          <w:p w14:paraId="2ADF746E">
            <w:pPr>
              <w:adjustRightInd w:val="0"/>
              <w:snapToGrid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100</w:t>
            </w:r>
          </w:p>
        </w:tc>
        <w:tc>
          <w:tcPr>
            <w:tcW w:w="1440" w:type="dxa"/>
            <w:vAlign w:val="center"/>
          </w:tcPr>
          <w:p w14:paraId="4633948F">
            <w:pPr>
              <w:adjustRightInd w:val="0"/>
              <w:snapToGrid w:val="0"/>
              <w:spacing w:before="0" w:beforeAutospacing="0" w:after="0" w:afterAutospacing="0"/>
              <w:ind w:left="0" w:right="0"/>
              <w:jc w:val="center"/>
              <w:rPr>
                <w:rFonts w:hint="default"/>
                <w:color w:val="auto"/>
                <w:kern w:val="0"/>
                <w:szCs w:val="21"/>
              </w:rPr>
            </w:pPr>
          </w:p>
        </w:tc>
        <w:tc>
          <w:tcPr>
            <w:tcW w:w="720" w:type="dxa"/>
            <w:vAlign w:val="center"/>
          </w:tcPr>
          <w:p w14:paraId="5B59A429">
            <w:pPr>
              <w:adjustRightInd w:val="0"/>
              <w:snapToGrid w:val="0"/>
              <w:spacing w:before="0" w:beforeAutospacing="0" w:after="0" w:afterAutospacing="0"/>
              <w:ind w:left="0" w:right="0"/>
              <w:jc w:val="center"/>
              <w:rPr>
                <w:rFonts w:hint="default"/>
                <w:color w:val="auto"/>
                <w:kern w:val="0"/>
                <w:szCs w:val="21"/>
              </w:rPr>
            </w:pPr>
          </w:p>
        </w:tc>
      </w:tr>
    </w:tbl>
    <w:p w14:paraId="588474B3">
      <w:pPr>
        <w:pStyle w:val="48"/>
        <w:adjustRightInd w:val="0"/>
        <w:snapToGrid w:val="0"/>
        <w:rPr>
          <w:color w:val="auto"/>
        </w:rPr>
      </w:pPr>
      <w:r>
        <w:rPr>
          <w:rFonts w:hint="eastAsia" w:ascii="宋体" w:hAnsi="宋体"/>
          <w:b/>
          <w:bCs/>
          <w:color w:val="auto"/>
        </w:rPr>
        <w:t>注：</w:t>
      </w:r>
      <w:r>
        <w:rPr>
          <w:color w:val="auto"/>
        </w:rPr>
        <w:t>1.</w:t>
      </w:r>
      <w:r>
        <w:rPr>
          <w:rFonts w:hint="eastAsia" w:ascii="宋体" w:hAnsi="宋体"/>
          <w:color w:val="auto"/>
        </w:rPr>
        <w:t>《规范》：</w:t>
      </w:r>
      <w:r>
        <w:rPr>
          <w:rFonts w:hint="eastAsia"/>
          <w:color w:val="auto"/>
        </w:rPr>
        <w:t>《环境空气非甲烷总烃连续自动监测技术规定（试行）》（总站气字</w:t>
      </w:r>
      <w:r>
        <w:rPr>
          <w:rFonts w:hint="eastAsia" w:ascii="宋体" w:hAnsi="宋体"/>
          <w:color w:val="auto"/>
        </w:rPr>
        <w:t>〔2021〕61号）等；</w:t>
      </w:r>
      <w:r>
        <w:rPr>
          <w:color w:val="auto"/>
        </w:rPr>
        <w:t>2.</w:t>
      </w:r>
      <w:r>
        <w:rPr>
          <w:rFonts w:hint="eastAsia" w:ascii="宋体" w:hAnsi="宋体"/>
          <w:color w:val="auto"/>
        </w:rPr>
        <w:t>《标准》：指《环境空气质量标准》（</w:t>
      </w:r>
      <w:r>
        <w:rPr>
          <w:color w:val="auto"/>
        </w:rPr>
        <w:t>GB3095-2012</w:t>
      </w:r>
      <w:r>
        <w:rPr>
          <w:rFonts w:hint="eastAsia" w:ascii="宋体" w:hAnsi="宋体"/>
          <w:color w:val="auto"/>
        </w:rPr>
        <w:t>）。</w:t>
      </w:r>
    </w:p>
    <w:p w14:paraId="23738940">
      <w:pPr>
        <w:pStyle w:val="48"/>
        <w:adjustRightInd w:val="0"/>
        <w:snapToGrid w:val="0"/>
        <w:spacing w:line="360" w:lineRule="auto"/>
        <w:ind w:firstLine="331" w:firstLineChars="150"/>
        <w:rPr>
          <w:b/>
          <w:bCs/>
          <w:color w:val="auto"/>
        </w:rPr>
      </w:pPr>
      <w:r>
        <w:rPr>
          <w:b/>
          <w:bCs/>
          <w:color w:val="auto"/>
        </w:rPr>
        <w:t xml:space="preserve"> </w:t>
      </w:r>
    </w:p>
    <w:p w14:paraId="2E1DE173">
      <w:pPr>
        <w:rPr>
          <w:rFonts w:hint="eastAsia" w:ascii="宋体" w:hAnsi="宋体"/>
          <w:b/>
          <w:bCs/>
          <w:color w:val="auto"/>
        </w:rPr>
      </w:pPr>
    </w:p>
    <w:p w14:paraId="5E6B178E">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b/>
          <w:bCs/>
          <w:color w:val="auto"/>
        </w:rPr>
      </w:pPr>
    </w:p>
    <w:p w14:paraId="537D2BF7">
      <w:pPr>
        <w:keepNext w:val="0"/>
        <w:keepLines w:val="0"/>
        <w:pageBreakBefore w:val="0"/>
        <w:widowControl w:val="0"/>
        <w:kinsoku/>
        <w:wordWrap/>
        <w:overflowPunct/>
        <w:topLinePunct w:val="0"/>
        <w:autoSpaceDE/>
        <w:autoSpaceDN/>
        <w:bidi w:val="0"/>
        <w:adjustRightInd/>
        <w:snapToGrid/>
        <w:spacing w:line="400" w:lineRule="atLeast"/>
        <w:textAlignment w:val="auto"/>
        <w:rPr>
          <w:color w:val="auto"/>
          <w:u w:val="single"/>
        </w:rPr>
      </w:pPr>
      <w:r>
        <w:rPr>
          <w:rFonts w:hint="eastAsia" w:ascii="宋体" w:hAnsi="宋体"/>
          <w:b/>
          <w:bCs/>
          <w:color w:val="auto"/>
        </w:rPr>
        <w:t>检查日期</w:t>
      </w:r>
      <w:r>
        <w:rPr>
          <w:rFonts w:hint="eastAsia" w:ascii="宋体" w:hAnsi="宋体"/>
          <w:color w:val="auto"/>
        </w:rPr>
        <w:t>：</w:t>
      </w:r>
      <w:r>
        <w:rPr>
          <w:color w:val="auto"/>
          <w:u w:val="single"/>
        </w:rPr>
        <w:t xml:space="preserve">                 </w:t>
      </w:r>
      <w:r>
        <w:rPr>
          <w:color w:val="auto"/>
        </w:rPr>
        <w:t xml:space="preserve">                       </w:t>
      </w:r>
      <w:r>
        <w:rPr>
          <w:rFonts w:hint="eastAsia" w:ascii="宋体" w:hAnsi="宋体"/>
          <w:b/>
          <w:bCs/>
          <w:color w:val="auto"/>
        </w:rPr>
        <w:t>检查人员</w:t>
      </w:r>
      <w:r>
        <w:rPr>
          <w:rFonts w:hint="eastAsia" w:ascii="宋体" w:hAnsi="宋体"/>
          <w:color w:val="auto"/>
        </w:rPr>
        <w:t>：</w:t>
      </w:r>
      <w:r>
        <w:rPr>
          <w:color w:val="auto"/>
          <w:u w:val="single"/>
        </w:rPr>
        <w:t xml:space="preserve">                         </w:t>
      </w:r>
    </w:p>
    <w:p w14:paraId="5612A3F8">
      <w:pPr>
        <w:keepNext w:val="0"/>
        <w:keepLines w:val="0"/>
        <w:pageBreakBefore w:val="0"/>
        <w:widowControl w:val="0"/>
        <w:kinsoku/>
        <w:wordWrap/>
        <w:overflowPunct/>
        <w:topLinePunct w:val="0"/>
        <w:autoSpaceDE/>
        <w:autoSpaceDN/>
        <w:bidi w:val="0"/>
        <w:adjustRightInd/>
        <w:snapToGrid/>
        <w:spacing w:line="400" w:lineRule="atLeast"/>
        <w:textAlignment w:val="auto"/>
        <w:rPr>
          <w:b/>
          <w:color w:val="auto"/>
        </w:rPr>
      </w:pPr>
      <w:r>
        <w:rPr>
          <w:color w:val="auto"/>
        </w:rPr>
        <w:t xml:space="preserve">                                                 </w:t>
      </w:r>
      <w:r>
        <w:rPr>
          <w:b/>
          <w:color w:val="auto"/>
        </w:rPr>
        <w:t xml:space="preserve"> </w:t>
      </w:r>
      <w:r>
        <w:rPr>
          <w:rFonts w:hint="eastAsia"/>
          <w:b/>
          <w:color w:val="auto"/>
        </w:rPr>
        <w:t>运维人员：</w:t>
      </w:r>
      <w:r>
        <w:rPr>
          <w:color w:val="auto"/>
          <w:u w:val="single"/>
        </w:rPr>
        <w:t xml:space="preserve">     </w:t>
      </w:r>
      <w:r>
        <w:rPr>
          <w:rFonts w:hint="eastAsia"/>
          <w:color w:val="auto"/>
          <w:u w:val="single"/>
          <w:lang w:val="en-US" w:eastAsia="zh-CN"/>
        </w:rPr>
        <w:t xml:space="preserve">  </w:t>
      </w:r>
      <w:r>
        <w:rPr>
          <w:color w:val="auto"/>
          <w:u w:val="single"/>
        </w:rPr>
        <w:t xml:space="preserve">                  </w:t>
      </w:r>
    </w:p>
    <w:p w14:paraId="3FCAB5BF">
      <w:pPr>
        <w:bidi w:val="0"/>
        <w:rPr>
          <w:rFonts w:hint="eastAsia"/>
          <w:color w:val="auto"/>
          <w:lang w:val="en-US" w:eastAsia="zh-CN"/>
        </w:rPr>
        <w:sectPr>
          <w:footerReference r:id="rId7" w:type="first"/>
          <w:footerReference r:id="rId5" w:type="default"/>
          <w:footerReference r:id="rId6" w:type="even"/>
          <w:pgSz w:w="11910" w:h="16840"/>
          <w:pgMar w:top="1162" w:right="1162" w:bottom="1162" w:left="1162" w:header="768" w:footer="624" w:gutter="0"/>
          <w:pgNumType w:fmt="decimal" w:start="1"/>
          <w:cols w:space="720" w:num="1"/>
          <w:titlePg/>
        </w:sectPr>
      </w:pPr>
    </w:p>
    <w:p w14:paraId="2645A660">
      <w:pPr>
        <w:tabs>
          <w:tab w:val="left" w:pos="2280"/>
        </w:tabs>
        <w:spacing w:line="360" w:lineRule="auto"/>
        <w:ind w:right="45"/>
        <w:contextualSpacing/>
        <w:jc w:val="left"/>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附表3</w:t>
      </w:r>
    </w:p>
    <w:p w14:paraId="31A7FDE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广西壮族自治区北海生态环境监测中心</w:t>
      </w:r>
    </w:p>
    <w:p w14:paraId="4F8371A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大气降水自动监测站设备运行维护</w:t>
      </w:r>
      <w:r>
        <w:rPr>
          <w:rFonts w:hint="eastAsia" w:ascii="方正小标宋简体" w:hAnsi="方正小标宋简体" w:eastAsia="方正小标宋简体" w:cs="方正小标宋简体"/>
          <w:color w:val="auto"/>
          <w:sz w:val="44"/>
          <w:szCs w:val="44"/>
          <w:lang w:val="en-US" w:eastAsia="zh-CN"/>
        </w:rPr>
        <w:t>季度</w:t>
      </w:r>
      <w:r>
        <w:rPr>
          <w:rFonts w:hint="eastAsia" w:ascii="方正小标宋简体" w:hAnsi="方正小标宋简体" w:eastAsia="方正小标宋简体" w:cs="方正小标宋简体"/>
          <w:color w:val="auto"/>
          <w:sz w:val="44"/>
          <w:szCs w:val="44"/>
        </w:rPr>
        <w:t>考核评分表</w:t>
      </w:r>
    </w:p>
    <w:p w14:paraId="2F4D2085">
      <w:pPr>
        <w:keepNext w:val="0"/>
        <w:keepLines w:val="0"/>
        <w:widowControl/>
        <w:suppressLineNumbers w:val="0"/>
        <w:jc w:val="left"/>
        <w:textAlignment w:val="center"/>
        <w:rPr>
          <w:rFonts w:hint="eastAsia" w:ascii="仿宋_GB2312" w:hAnsi="等线" w:eastAsia="仿宋_GB2312" w:cs="仿宋_GB2312"/>
          <w:i w:val="0"/>
          <w:iCs w:val="0"/>
          <w:color w:val="auto"/>
          <w:kern w:val="0"/>
          <w:sz w:val="22"/>
          <w:szCs w:val="22"/>
          <w:u w:val="none"/>
          <w:lang w:val="en-US" w:eastAsia="zh-CN" w:bidi="ar"/>
        </w:rPr>
      </w:pPr>
    </w:p>
    <w:p w14:paraId="74E5DDBB">
      <w:pPr>
        <w:keepNext w:val="0"/>
        <w:keepLines w:val="0"/>
        <w:widowControl/>
        <w:suppressLineNumbers w:val="0"/>
        <w:jc w:val="left"/>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考核时段：第  季度（    年  月  日-   年  月  日）</w:t>
      </w:r>
    </w:p>
    <w:tbl>
      <w:tblPr>
        <w:tblStyle w:val="26"/>
        <w:tblW w:w="13525"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158"/>
        <w:gridCol w:w="9659"/>
        <w:gridCol w:w="609"/>
        <w:gridCol w:w="619"/>
        <w:gridCol w:w="1007"/>
      </w:tblGrid>
      <w:tr w14:paraId="1EC3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4300C1F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序号</w:t>
            </w:r>
          </w:p>
        </w:tc>
        <w:tc>
          <w:tcPr>
            <w:tcW w:w="10817" w:type="dxa"/>
            <w:gridSpan w:val="2"/>
            <w:noWrap w:val="0"/>
            <w:vAlign w:val="center"/>
          </w:tcPr>
          <w:p w14:paraId="210D346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b/>
                <w:bCs/>
                <w:i w:val="0"/>
                <w:iCs w:val="0"/>
                <w:color w:val="auto"/>
                <w:kern w:val="0"/>
                <w:sz w:val="22"/>
                <w:szCs w:val="22"/>
                <w:u w:val="none"/>
                <w:lang w:val="en-US" w:eastAsia="zh-CN" w:bidi="ar"/>
              </w:rPr>
              <w:t>考  核  内  容</w:t>
            </w:r>
          </w:p>
        </w:tc>
        <w:tc>
          <w:tcPr>
            <w:tcW w:w="609" w:type="dxa"/>
            <w:noWrap w:val="0"/>
            <w:vAlign w:val="center"/>
          </w:tcPr>
          <w:p w14:paraId="11C8598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b/>
                <w:bCs/>
                <w:i w:val="0"/>
                <w:iCs w:val="0"/>
                <w:color w:val="auto"/>
                <w:kern w:val="0"/>
                <w:sz w:val="22"/>
                <w:szCs w:val="22"/>
                <w:u w:val="none"/>
                <w:lang w:val="en-US" w:eastAsia="zh-CN" w:bidi="ar"/>
              </w:rPr>
              <w:t>分值</w:t>
            </w:r>
          </w:p>
        </w:tc>
        <w:tc>
          <w:tcPr>
            <w:tcW w:w="619" w:type="dxa"/>
            <w:noWrap w:val="0"/>
            <w:vAlign w:val="center"/>
          </w:tcPr>
          <w:p w14:paraId="3FB45ED1">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b/>
                <w:bCs/>
                <w:i w:val="0"/>
                <w:iCs w:val="0"/>
                <w:color w:val="auto"/>
                <w:kern w:val="0"/>
                <w:sz w:val="22"/>
                <w:szCs w:val="22"/>
                <w:u w:val="none"/>
                <w:lang w:val="en-US" w:eastAsia="zh-CN" w:bidi="ar"/>
              </w:rPr>
            </w:pPr>
            <w:r>
              <w:rPr>
                <w:rFonts w:hint="eastAsia" w:ascii="仿宋_GB2312" w:hAnsi="等线" w:eastAsia="仿宋_GB2312" w:cs="仿宋_GB2312"/>
                <w:b/>
                <w:bCs/>
                <w:i w:val="0"/>
                <w:iCs w:val="0"/>
                <w:color w:val="auto"/>
                <w:kern w:val="0"/>
                <w:sz w:val="22"/>
                <w:szCs w:val="22"/>
                <w:u w:val="none"/>
                <w:lang w:val="en-US" w:eastAsia="zh-CN" w:bidi="ar"/>
              </w:rPr>
              <w:t>评</w:t>
            </w:r>
          </w:p>
          <w:p w14:paraId="39C2D493">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b/>
                <w:bCs/>
                <w:i w:val="0"/>
                <w:iCs w:val="0"/>
                <w:color w:val="auto"/>
                <w:kern w:val="0"/>
                <w:sz w:val="22"/>
                <w:szCs w:val="22"/>
                <w:u w:val="none"/>
                <w:lang w:val="en-US" w:eastAsia="zh-CN" w:bidi="ar"/>
              </w:rPr>
            </w:pPr>
            <w:r>
              <w:rPr>
                <w:rFonts w:hint="eastAsia" w:ascii="仿宋_GB2312" w:hAnsi="等线" w:eastAsia="仿宋_GB2312" w:cs="仿宋_GB2312"/>
                <w:b/>
                <w:bCs/>
                <w:i w:val="0"/>
                <w:iCs w:val="0"/>
                <w:color w:val="auto"/>
                <w:kern w:val="0"/>
                <w:sz w:val="22"/>
                <w:szCs w:val="22"/>
                <w:u w:val="none"/>
                <w:lang w:val="en-US" w:eastAsia="zh-CN" w:bidi="ar"/>
              </w:rPr>
              <w:t>分</w:t>
            </w:r>
          </w:p>
        </w:tc>
        <w:tc>
          <w:tcPr>
            <w:tcW w:w="1007" w:type="dxa"/>
            <w:noWrap w:val="0"/>
            <w:vAlign w:val="center"/>
          </w:tcPr>
          <w:p w14:paraId="22DA8C9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b/>
                <w:bCs/>
                <w:i w:val="0"/>
                <w:iCs w:val="0"/>
                <w:color w:val="auto"/>
                <w:kern w:val="0"/>
                <w:sz w:val="22"/>
                <w:szCs w:val="22"/>
                <w:u w:val="none"/>
                <w:lang w:val="en-US" w:eastAsia="zh-CN" w:bidi="ar"/>
              </w:rPr>
              <w:t>备注</w:t>
            </w:r>
          </w:p>
        </w:tc>
      </w:tr>
      <w:tr w14:paraId="1A8E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23E351A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1</w:t>
            </w:r>
          </w:p>
        </w:tc>
        <w:tc>
          <w:tcPr>
            <w:tcW w:w="1158" w:type="dxa"/>
            <w:vMerge w:val="restart"/>
            <w:noWrap w:val="0"/>
            <w:vAlign w:val="center"/>
          </w:tcPr>
          <w:p w14:paraId="60616B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日常运维</w:t>
            </w:r>
            <w:r>
              <w:rPr>
                <w:rFonts w:hint="eastAsia" w:ascii="仿宋_GB2312" w:hAnsi="等线" w:eastAsia="仿宋_GB2312" w:cs="仿宋_GB2312"/>
                <w:b/>
                <w:bCs/>
                <w:i w:val="0"/>
                <w:iCs w:val="0"/>
                <w:color w:val="auto"/>
                <w:kern w:val="0"/>
                <w:sz w:val="22"/>
                <w:szCs w:val="22"/>
                <w:u w:val="none"/>
                <w:lang w:val="en-US" w:eastAsia="zh-CN" w:bidi="ar"/>
              </w:rPr>
              <w:br w:type="textWrapping"/>
            </w:r>
            <w:r>
              <w:rPr>
                <w:rFonts w:hint="eastAsia" w:ascii="仿宋_GB2312" w:hAnsi="等线" w:eastAsia="仿宋_GB2312" w:cs="仿宋_GB2312"/>
                <w:b/>
                <w:bCs/>
                <w:i w:val="0"/>
                <w:iCs w:val="0"/>
                <w:color w:val="auto"/>
                <w:kern w:val="0"/>
                <w:sz w:val="22"/>
                <w:szCs w:val="22"/>
                <w:u w:val="none"/>
                <w:lang w:val="en-US" w:eastAsia="zh-CN" w:bidi="ar"/>
              </w:rPr>
              <w:t>质量控制</w:t>
            </w:r>
          </w:p>
        </w:tc>
        <w:tc>
          <w:tcPr>
            <w:tcW w:w="9659" w:type="dxa"/>
            <w:noWrap w:val="0"/>
            <w:vAlign w:val="center"/>
          </w:tcPr>
          <w:p w14:paraId="3EDCBF8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按照《酸沉降监测技术规范》（HJ/T165-2004）要求清洗采样瓶，晾干备用；准备冷藏箱、样品标签（标签内容按照广西壮族自治区北海生态环境监测中心的要求填写）；放置洗涤干净的仪器收集瓶，恢复原始瓶数量。未按规范操作的，视情况扣0-2分，扣完为止。</w:t>
            </w:r>
          </w:p>
        </w:tc>
        <w:tc>
          <w:tcPr>
            <w:tcW w:w="609" w:type="dxa"/>
            <w:noWrap w:val="0"/>
            <w:vAlign w:val="center"/>
          </w:tcPr>
          <w:p w14:paraId="495BB3A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56A0F505">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6B08BFC2">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73E5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704B3F4E">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w:t>
            </w:r>
          </w:p>
        </w:tc>
        <w:tc>
          <w:tcPr>
            <w:tcW w:w="1158" w:type="dxa"/>
            <w:vMerge w:val="continue"/>
            <w:noWrap w:val="0"/>
            <w:vAlign w:val="top"/>
          </w:tcPr>
          <w:p w14:paraId="7494CD07">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3D28CF3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瑞士DIGITEL仪器自动换瓶后，无论是否收集到样品，都需要清洗采样瓶。未按要求操作的，视情况扣0-2分，扣完为止。</w:t>
            </w:r>
          </w:p>
        </w:tc>
        <w:tc>
          <w:tcPr>
            <w:tcW w:w="609" w:type="dxa"/>
            <w:noWrap w:val="0"/>
            <w:vAlign w:val="center"/>
          </w:tcPr>
          <w:p w14:paraId="03D077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08013EA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008EA987">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4003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7776727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3</w:t>
            </w:r>
          </w:p>
        </w:tc>
        <w:tc>
          <w:tcPr>
            <w:tcW w:w="1158" w:type="dxa"/>
            <w:vMerge w:val="continue"/>
            <w:noWrap w:val="0"/>
            <w:vAlign w:val="top"/>
          </w:tcPr>
          <w:p w14:paraId="75B3E4A0">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75EEB76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雨季（5-10月）至少每10天进行1次在线设备pH和EC常规校准维护，非雨季（11-4月）至少每两周进行1次在线设备pH和EC常规校准维护，每次校准记录需及时上传到广西壮族自治区酸雨监测质量控制系统，拍摄现场维护校准照片和规范填写校准记录质版表格，交给广西壮族自治区北海生态环境监测中心备案。未按要求开展校准0分，每个站点每缺少一次校准扣1分，扣完为止。</w:t>
            </w:r>
          </w:p>
        </w:tc>
        <w:tc>
          <w:tcPr>
            <w:tcW w:w="609" w:type="dxa"/>
            <w:noWrap w:val="0"/>
            <w:vAlign w:val="center"/>
          </w:tcPr>
          <w:p w14:paraId="708AFB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6</w:t>
            </w:r>
          </w:p>
        </w:tc>
        <w:tc>
          <w:tcPr>
            <w:tcW w:w="619" w:type="dxa"/>
            <w:noWrap w:val="0"/>
            <w:vAlign w:val="center"/>
          </w:tcPr>
          <w:p w14:paraId="670C31F7">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5E94F5B4">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3B62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6690E8E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4</w:t>
            </w:r>
          </w:p>
        </w:tc>
        <w:tc>
          <w:tcPr>
            <w:tcW w:w="1158" w:type="dxa"/>
            <w:vMerge w:val="continue"/>
            <w:noWrap w:val="0"/>
            <w:vAlign w:val="top"/>
          </w:tcPr>
          <w:p w14:paraId="2C074ED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24994A9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每月至少采集一次样品运输空白，空白分析结果应与分析去离子水相同，否则，按要求开展影响因素排查。未开展运输空白采集0分，每个站点每缺少一次运输空白扣1分，扣完为止。</w:t>
            </w:r>
          </w:p>
        </w:tc>
        <w:tc>
          <w:tcPr>
            <w:tcW w:w="609" w:type="dxa"/>
            <w:noWrap w:val="0"/>
            <w:vAlign w:val="center"/>
          </w:tcPr>
          <w:p w14:paraId="7A9402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7834935E">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0FD95388">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4C43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461BB81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5</w:t>
            </w:r>
          </w:p>
        </w:tc>
        <w:tc>
          <w:tcPr>
            <w:tcW w:w="1158" w:type="dxa"/>
            <w:vMerge w:val="continue"/>
            <w:noWrap w:val="0"/>
            <w:vAlign w:val="top"/>
          </w:tcPr>
          <w:p w14:paraId="6412D116">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3225EC1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按照广西壮族自治区北海生态环境监测中心计划配合完成每个站点的pH值、电导率现场比对工作。未按要求配合比对的，一次扣完4分，比对结果不合格的，按照一项指标一次扣1分，扣完为止。</w:t>
            </w:r>
          </w:p>
        </w:tc>
        <w:tc>
          <w:tcPr>
            <w:tcW w:w="609" w:type="dxa"/>
            <w:noWrap w:val="0"/>
            <w:vAlign w:val="center"/>
          </w:tcPr>
          <w:p w14:paraId="482FB3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101C4B6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2D281AA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48EC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5DEAE97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6</w:t>
            </w:r>
          </w:p>
        </w:tc>
        <w:tc>
          <w:tcPr>
            <w:tcW w:w="1158" w:type="dxa"/>
            <w:vMerge w:val="continue"/>
            <w:noWrap w:val="0"/>
            <w:vAlign w:val="top"/>
          </w:tcPr>
          <w:p w14:paraId="01E2940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4131581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按照广西壮族自治区北海生态环境监测中心计划完成标准样品的测试，分析结果需合格。如测试结果不合格，按一个站点一个指标一次扣1分，扣完为止；未开展测试0分。</w:t>
            </w:r>
          </w:p>
        </w:tc>
        <w:tc>
          <w:tcPr>
            <w:tcW w:w="609" w:type="dxa"/>
            <w:noWrap w:val="0"/>
            <w:vAlign w:val="center"/>
          </w:tcPr>
          <w:p w14:paraId="2EE89A9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56B8BF5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53E76DFC">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16D8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6CF3D6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7</w:t>
            </w:r>
          </w:p>
        </w:tc>
        <w:tc>
          <w:tcPr>
            <w:tcW w:w="1158" w:type="dxa"/>
            <w:vMerge w:val="continue"/>
            <w:noWrap w:val="0"/>
            <w:vAlign w:val="top"/>
          </w:tcPr>
          <w:p w14:paraId="466B3724">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4DC4582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每月对4台大气降水自动监测仪进行一次系统性的维护保养，填写维护记录交给广西壮族自治区北海生态环境监测中心。未达到要求的，视情况扣0-4分，未开展维护0分。</w:t>
            </w:r>
          </w:p>
        </w:tc>
        <w:tc>
          <w:tcPr>
            <w:tcW w:w="609" w:type="dxa"/>
            <w:noWrap w:val="0"/>
            <w:vAlign w:val="center"/>
          </w:tcPr>
          <w:p w14:paraId="50698BF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42F9BC57">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07B2D3F6">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79AC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231A7B3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8</w:t>
            </w:r>
          </w:p>
        </w:tc>
        <w:tc>
          <w:tcPr>
            <w:tcW w:w="1158" w:type="dxa"/>
            <w:vMerge w:val="continue"/>
            <w:noWrap w:val="0"/>
            <w:vAlign w:val="top"/>
          </w:tcPr>
          <w:p w14:paraId="67F93E02">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7F6937A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每季度至少清洗一次仪器的集雨桶和雨量桶，要求清洗到位。未达到要求的，视情况扣0-3分，未开展清洗0分。</w:t>
            </w:r>
          </w:p>
        </w:tc>
        <w:tc>
          <w:tcPr>
            <w:tcW w:w="609" w:type="dxa"/>
            <w:noWrap w:val="0"/>
            <w:vAlign w:val="center"/>
          </w:tcPr>
          <w:p w14:paraId="284903A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0ED09F45">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5D18D93D">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35E6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0FFCEC8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9</w:t>
            </w:r>
          </w:p>
        </w:tc>
        <w:tc>
          <w:tcPr>
            <w:tcW w:w="1158" w:type="dxa"/>
            <w:vMerge w:val="continue"/>
            <w:noWrap w:val="0"/>
            <w:vAlign w:val="top"/>
          </w:tcPr>
          <w:p w14:paraId="4889BCD0">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45CCCDA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每季度至少采集一次全程序空白样品，空白分析结果应与分析去离子水相同，否则，重新清洗集雨桶和雨量桶。未开展0分。</w:t>
            </w:r>
          </w:p>
        </w:tc>
        <w:tc>
          <w:tcPr>
            <w:tcW w:w="609" w:type="dxa"/>
            <w:noWrap w:val="0"/>
            <w:vAlign w:val="center"/>
          </w:tcPr>
          <w:p w14:paraId="0C94158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55F2E589">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0C22C27C">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0436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049ABB0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10</w:t>
            </w:r>
          </w:p>
        </w:tc>
        <w:tc>
          <w:tcPr>
            <w:tcW w:w="1158" w:type="dxa"/>
            <w:vMerge w:val="continue"/>
            <w:noWrap w:val="0"/>
            <w:vAlign w:val="top"/>
          </w:tcPr>
          <w:p w14:paraId="4BC19C5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2E2DBCE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每天查看仪器的运行状态和主要参数，判断运行是否正常；每月扣除停电、不可抗力因素引起的故障等时间段最低数据有效率不低于85%。每个站点每降低1个百分点，扣2分，扣完为止。</w:t>
            </w:r>
          </w:p>
        </w:tc>
        <w:tc>
          <w:tcPr>
            <w:tcW w:w="609" w:type="dxa"/>
            <w:noWrap w:val="0"/>
            <w:vAlign w:val="center"/>
          </w:tcPr>
          <w:p w14:paraId="493AE215">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sz w:val="32"/>
                <w:szCs w:val="32"/>
                <w:vertAlign w:val="baseline"/>
                <w:lang w:val="en-US"/>
              </w:rPr>
            </w:pPr>
            <w:r>
              <w:rPr>
                <w:rFonts w:hint="eastAsia" w:ascii="仿宋_GB2312" w:hAnsi="等线" w:eastAsia="仿宋_GB2312" w:cs="仿宋_GB2312"/>
                <w:i w:val="0"/>
                <w:iCs w:val="0"/>
                <w:color w:val="auto"/>
                <w:kern w:val="0"/>
                <w:sz w:val="22"/>
                <w:szCs w:val="22"/>
                <w:u w:val="none"/>
                <w:lang w:val="en-US" w:eastAsia="zh-CN" w:bidi="ar"/>
              </w:rPr>
              <w:t>20</w:t>
            </w:r>
          </w:p>
        </w:tc>
        <w:tc>
          <w:tcPr>
            <w:tcW w:w="619" w:type="dxa"/>
            <w:noWrap w:val="0"/>
            <w:vAlign w:val="center"/>
          </w:tcPr>
          <w:p w14:paraId="3CCA33B7">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73A34576">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300A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69F0CD0">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11</w:t>
            </w:r>
          </w:p>
        </w:tc>
        <w:tc>
          <w:tcPr>
            <w:tcW w:w="1158" w:type="dxa"/>
            <w:vMerge w:val="continue"/>
            <w:noWrap w:val="0"/>
            <w:vAlign w:val="top"/>
          </w:tcPr>
          <w:p w14:paraId="77F86245">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14ED989E">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数据上传率不低于90%，每个站点每缺少一场降水数据扣1分，没按规范操作导致非降水数据上传平台的，视情况扣分。</w:t>
            </w:r>
          </w:p>
        </w:tc>
        <w:tc>
          <w:tcPr>
            <w:tcW w:w="609" w:type="dxa"/>
            <w:noWrap w:val="0"/>
            <w:vAlign w:val="center"/>
          </w:tcPr>
          <w:p w14:paraId="56C08D31">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5</w:t>
            </w:r>
          </w:p>
        </w:tc>
        <w:tc>
          <w:tcPr>
            <w:tcW w:w="619" w:type="dxa"/>
            <w:noWrap w:val="0"/>
            <w:vAlign w:val="center"/>
          </w:tcPr>
          <w:p w14:paraId="4BAD1A50">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181C09CE">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p>
        </w:tc>
      </w:tr>
      <w:tr w14:paraId="4CC0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B7F25F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12</w:t>
            </w:r>
          </w:p>
        </w:tc>
        <w:tc>
          <w:tcPr>
            <w:tcW w:w="1158" w:type="dxa"/>
            <w:vMerge w:val="restart"/>
            <w:noWrap w:val="0"/>
            <w:vAlign w:val="center"/>
          </w:tcPr>
          <w:p w14:paraId="368F3C3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样品采集</w:t>
            </w:r>
          </w:p>
        </w:tc>
        <w:tc>
          <w:tcPr>
            <w:tcW w:w="9659" w:type="dxa"/>
            <w:noWrap w:val="0"/>
            <w:vAlign w:val="center"/>
          </w:tcPr>
          <w:p w14:paraId="4EBDE02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逢雨必采，上午9:00至次日上午9:00的降水视为一个样品，须在次日15 时前送到实验室，样品与采样送样记录同时交接。没进行送样的，每缺漏一次样品0分，延时送样每次扣1分，送样不全每缺少一瓶水样扣1分，扣完为止。</w:t>
            </w:r>
          </w:p>
        </w:tc>
        <w:tc>
          <w:tcPr>
            <w:tcW w:w="609" w:type="dxa"/>
            <w:noWrap w:val="0"/>
            <w:vAlign w:val="center"/>
          </w:tcPr>
          <w:p w14:paraId="4B8B9B3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lang w:val="en-US" w:eastAsia="zh-CN"/>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1354F348">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0B5E905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6650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677BC8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13</w:t>
            </w:r>
          </w:p>
        </w:tc>
        <w:tc>
          <w:tcPr>
            <w:tcW w:w="1158" w:type="dxa"/>
            <w:vMerge w:val="continue"/>
            <w:noWrap w:val="0"/>
            <w:vAlign w:val="top"/>
          </w:tcPr>
          <w:p w14:paraId="08F51A72">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62042A3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每次采集水样，需查看仪器状态，确定pH值、电导率、降雨量是否需要实验室分析，并在表格勾选分析项目。按每遗漏一个扣0.5分，扣完为止。</w:t>
            </w:r>
          </w:p>
        </w:tc>
        <w:tc>
          <w:tcPr>
            <w:tcW w:w="609" w:type="dxa"/>
            <w:noWrap w:val="0"/>
            <w:vAlign w:val="center"/>
          </w:tcPr>
          <w:p w14:paraId="00C15C6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121A7726">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6563065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7E6F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D44D86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14</w:t>
            </w:r>
          </w:p>
        </w:tc>
        <w:tc>
          <w:tcPr>
            <w:tcW w:w="1158" w:type="dxa"/>
            <w:vMerge w:val="continue"/>
            <w:noWrap w:val="0"/>
            <w:vAlign w:val="top"/>
          </w:tcPr>
          <w:p w14:paraId="0C6CF85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4F2E84F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做好每场降水样品采集的照片。照片水印信息包括：点位经纬度和所在地名称、时间信息。照片内容包括：样品量、样品与仪器的合影、仪器与其周边环境。未达到要求的，视情况扣0-3分。</w:t>
            </w:r>
          </w:p>
        </w:tc>
        <w:tc>
          <w:tcPr>
            <w:tcW w:w="609" w:type="dxa"/>
            <w:noWrap w:val="0"/>
            <w:vAlign w:val="center"/>
          </w:tcPr>
          <w:p w14:paraId="1CC192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3</w:t>
            </w:r>
          </w:p>
        </w:tc>
        <w:tc>
          <w:tcPr>
            <w:tcW w:w="619" w:type="dxa"/>
            <w:noWrap w:val="0"/>
            <w:vAlign w:val="center"/>
          </w:tcPr>
          <w:p w14:paraId="5F3CA24D">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28459485">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p>
        </w:tc>
      </w:tr>
      <w:tr w14:paraId="49AE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53A235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15</w:t>
            </w:r>
          </w:p>
        </w:tc>
        <w:tc>
          <w:tcPr>
            <w:tcW w:w="1158" w:type="dxa"/>
            <w:vMerge w:val="continue"/>
            <w:noWrap w:val="0"/>
            <w:vAlign w:val="top"/>
          </w:tcPr>
          <w:p w14:paraId="03AC724A">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29C369E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因不可抗拒原因造成的样品采集延迟，该次样品仍需送样，并在送样记录单备注延迟原因。每出现一次未按要求备注延迟原因扣0.5分，扣完为止。</w:t>
            </w:r>
          </w:p>
        </w:tc>
        <w:tc>
          <w:tcPr>
            <w:tcW w:w="609" w:type="dxa"/>
            <w:noWrap w:val="0"/>
            <w:vAlign w:val="center"/>
          </w:tcPr>
          <w:p w14:paraId="6FEDCBF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688F1510">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714AC09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0C54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781233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16</w:t>
            </w:r>
          </w:p>
        </w:tc>
        <w:tc>
          <w:tcPr>
            <w:tcW w:w="1158" w:type="dxa"/>
            <w:vMerge w:val="continue"/>
            <w:noWrap w:val="0"/>
            <w:vAlign w:val="top"/>
          </w:tcPr>
          <w:p w14:paraId="01EB5255">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6B0B196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平台有降雨量，不管多少必须到现场。未按要求核实的，每个站点每次扣0.5分，扣完为止。</w:t>
            </w:r>
          </w:p>
        </w:tc>
        <w:tc>
          <w:tcPr>
            <w:tcW w:w="609" w:type="dxa"/>
            <w:noWrap w:val="0"/>
            <w:vAlign w:val="center"/>
          </w:tcPr>
          <w:p w14:paraId="7804515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08EC9CFA">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7468BCB7">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p>
        </w:tc>
      </w:tr>
      <w:tr w14:paraId="1D35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06741FA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17</w:t>
            </w:r>
          </w:p>
        </w:tc>
        <w:tc>
          <w:tcPr>
            <w:tcW w:w="1158" w:type="dxa"/>
            <w:noWrap w:val="0"/>
            <w:vAlign w:val="center"/>
          </w:tcPr>
          <w:p w14:paraId="0A1A6E6F">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b/>
                <w:bCs/>
                <w:i w:val="0"/>
                <w:iCs w:val="0"/>
                <w:color w:val="auto"/>
                <w:kern w:val="0"/>
                <w:sz w:val="22"/>
                <w:szCs w:val="22"/>
                <w:u w:val="none"/>
                <w:lang w:val="en-US" w:eastAsia="zh-CN" w:bidi="ar"/>
              </w:rPr>
            </w:pPr>
            <w:r>
              <w:rPr>
                <w:rFonts w:hint="eastAsia" w:ascii="仿宋_GB2312" w:hAnsi="等线" w:eastAsia="仿宋_GB2312" w:cs="仿宋_GB2312"/>
                <w:b/>
                <w:bCs/>
                <w:i w:val="0"/>
                <w:iCs w:val="0"/>
                <w:color w:val="auto"/>
                <w:kern w:val="0"/>
                <w:sz w:val="22"/>
                <w:szCs w:val="22"/>
                <w:u w:val="none"/>
                <w:lang w:val="en-US" w:eastAsia="zh-CN" w:bidi="ar"/>
              </w:rPr>
              <w:t>网络通</w:t>
            </w:r>
          </w:p>
          <w:p w14:paraId="4C438A3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讯保障</w:t>
            </w:r>
          </w:p>
        </w:tc>
        <w:tc>
          <w:tcPr>
            <w:tcW w:w="9659" w:type="dxa"/>
            <w:noWrap w:val="0"/>
            <w:vAlign w:val="center"/>
          </w:tcPr>
          <w:p w14:paraId="093E401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设备网络连接出现故障异常要及时维修、报修，确保数据网络传输正常，扣除不可抗力因素外的网络通讯率不低于95%（按在线时间计算）。未按要求完成的，视情况扣0-5分，扣完为止。</w:t>
            </w:r>
          </w:p>
        </w:tc>
        <w:tc>
          <w:tcPr>
            <w:tcW w:w="609" w:type="dxa"/>
            <w:noWrap w:val="0"/>
            <w:vAlign w:val="center"/>
          </w:tcPr>
          <w:p w14:paraId="33A47B7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5</w:t>
            </w:r>
          </w:p>
        </w:tc>
        <w:tc>
          <w:tcPr>
            <w:tcW w:w="619" w:type="dxa"/>
            <w:noWrap w:val="0"/>
            <w:vAlign w:val="center"/>
          </w:tcPr>
          <w:p w14:paraId="3844B9EF">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05880890">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p>
        </w:tc>
      </w:tr>
      <w:tr w14:paraId="2164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E43DD7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18</w:t>
            </w:r>
          </w:p>
        </w:tc>
        <w:tc>
          <w:tcPr>
            <w:tcW w:w="1158" w:type="dxa"/>
            <w:vMerge w:val="restart"/>
            <w:noWrap w:val="0"/>
            <w:vAlign w:val="center"/>
          </w:tcPr>
          <w:p w14:paraId="5906C194">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b/>
                <w:bCs/>
                <w:i w:val="0"/>
                <w:iCs w:val="0"/>
                <w:color w:val="auto"/>
                <w:kern w:val="0"/>
                <w:sz w:val="22"/>
                <w:szCs w:val="22"/>
                <w:u w:val="none"/>
                <w:lang w:val="en-US" w:eastAsia="zh-CN" w:bidi="ar"/>
              </w:rPr>
            </w:pPr>
            <w:r>
              <w:rPr>
                <w:rFonts w:hint="eastAsia" w:ascii="仿宋_GB2312" w:hAnsi="等线" w:eastAsia="仿宋_GB2312" w:cs="仿宋_GB2312"/>
                <w:b/>
                <w:bCs/>
                <w:i w:val="0"/>
                <w:iCs w:val="0"/>
                <w:color w:val="auto"/>
                <w:kern w:val="0"/>
                <w:sz w:val="22"/>
                <w:szCs w:val="22"/>
                <w:u w:val="none"/>
                <w:lang w:val="en-US" w:eastAsia="zh-CN" w:bidi="ar"/>
              </w:rPr>
              <w:t>故障处理</w:t>
            </w:r>
          </w:p>
          <w:p w14:paraId="006095E7">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b/>
                <w:bCs/>
                <w:i w:val="0"/>
                <w:iCs w:val="0"/>
                <w:color w:val="auto"/>
                <w:kern w:val="0"/>
                <w:sz w:val="22"/>
                <w:szCs w:val="22"/>
                <w:u w:val="none"/>
                <w:lang w:val="en-US" w:eastAsia="zh-CN" w:bidi="ar"/>
              </w:rPr>
            </w:pPr>
            <w:r>
              <w:rPr>
                <w:rFonts w:hint="eastAsia" w:ascii="仿宋_GB2312" w:hAnsi="等线" w:eastAsia="仿宋_GB2312" w:cs="仿宋_GB2312"/>
                <w:b/>
                <w:bCs/>
                <w:i w:val="0"/>
                <w:iCs w:val="0"/>
                <w:color w:val="auto"/>
                <w:kern w:val="0"/>
                <w:sz w:val="22"/>
                <w:szCs w:val="22"/>
                <w:u w:val="none"/>
                <w:lang w:val="en-US" w:eastAsia="zh-CN" w:bidi="ar"/>
              </w:rPr>
              <w:t>系统维护</w:t>
            </w:r>
          </w:p>
        </w:tc>
        <w:tc>
          <w:tcPr>
            <w:tcW w:w="9659" w:type="dxa"/>
            <w:noWrap w:val="0"/>
            <w:vAlign w:val="center"/>
          </w:tcPr>
          <w:p w14:paraId="4125640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仪器设备出现故障，4小时内响应，8小时内作出故障诊断，不需要更换配件的故障问题应24小时内解决；需要更换配件的故障问题3天内解决，确实无法解决的，需征得广西壮族自治区北海生态环境监测中心同意，在指定的期限内解决问题。且更换设备或修复后的仪器在运行之前进行必要的检测和测试，各项指标均达到要求。未按要求进行的，视现场情况扣0-4分，扣完为止。</w:t>
            </w:r>
          </w:p>
        </w:tc>
        <w:tc>
          <w:tcPr>
            <w:tcW w:w="609" w:type="dxa"/>
            <w:noWrap w:val="0"/>
            <w:vAlign w:val="center"/>
          </w:tcPr>
          <w:p w14:paraId="0C944EC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32"/>
                <w:szCs w:val="32"/>
                <w:vertAlign w:val="baseline"/>
                <w:lang w:val="en-US" w:eastAsia="zh-CN"/>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2E7DB70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4964CAA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5A65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0B39BB2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20</w:t>
            </w:r>
          </w:p>
        </w:tc>
        <w:tc>
          <w:tcPr>
            <w:tcW w:w="1158" w:type="dxa"/>
            <w:vMerge w:val="continue"/>
            <w:noWrap w:val="0"/>
            <w:vAlign w:val="top"/>
          </w:tcPr>
          <w:p w14:paraId="13B16B4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6866C35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系统异常情况响应和处理率达到100%，分数视实际情况扣0-4分，扣完为止。</w:t>
            </w:r>
          </w:p>
        </w:tc>
        <w:tc>
          <w:tcPr>
            <w:tcW w:w="609" w:type="dxa"/>
            <w:noWrap w:val="0"/>
            <w:vAlign w:val="center"/>
          </w:tcPr>
          <w:p w14:paraId="2A5CFBC6">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08F6DA14">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192072F1">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474F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5278EDB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等线" w:eastAsia="仿宋_GB2312" w:cs="仿宋_GB2312"/>
                <w:i w:val="0"/>
                <w:iCs w:val="0"/>
                <w:color w:val="auto"/>
                <w:kern w:val="0"/>
                <w:sz w:val="22"/>
                <w:szCs w:val="22"/>
                <w:u w:val="none"/>
                <w:lang w:val="en-US" w:eastAsia="zh-CN" w:bidi="ar"/>
              </w:rPr>
              <w:t>21</w:t>
            </w:r>
          </w:p>
        </w:tc>
        <w:tc>
          <w:tcPr>
            <w:tcW w:w="1158" w:type="dxa"/>
            <w:vMerge w:val="continue"/>
            <w:noWrap w:val="0"/>
            <w:vAlign w:val="top"/>
          </w:tcPr>
          <w:p w14:paraId="7E1D9233">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c>
          <w:tcPr>
            <w:tcW w:w="9659" w:type="dxa"/>
            <w:noWrap w:val="0"/>
            <w:vAlign w:val="center"/>
          </w:tcPr>
          <w:p w14:paraId="0213992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i w:val="0"/>
                <w:iCs w:val="0"/>
                <w:color w:val="auto"/>
                <w:kern w:val="0"/>
                <w:sz w:val="22"/>
                <w:szCs w:val="22"/>
                <w:u w:val="none"/>
                <w:lang w:val="en-US" w:eastAsia="zh-CN" w:bidi="ar"/>
              </w:rPr>
              <w:t>按要求对系统进行必要的升级。未按要求完成的0分。</w:t>
            </w:r>
          </w:p>
        </w:tc>
        <w:tc>
          <w:tcPr>
            <w:tcW w:w="609" w:type="dxa"/>
            <w:noWrap w:val="0"/>
            <w:vAlign w:val="center"/>
          </w:tcPr>
          <w:p w14:paraId="6FB685FC">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4</w:t>
            </w:r>
          </w:p>
        </w:tc>
        <w:tc>
          <w:tcPr>
            <w:tcW w:w="619" w:type="dxa"/>
            <w:noWrap w:val="0"/>
            <w:vAlign w:val="center"/>
          </w:tcPr>
          <w:p w14:paraId="6B67B4F8">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47CD4154">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316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4AC0FEED">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22</w:t>
            </w:r>
          </w:p>
        </w:tc>
        <w:tc>
          <w:tcPr>
            <w:tcW w:w="1158" w:type="dxa"/>
            <w:vMerge w:val="continue"/>
            <w:noWrap w:val="0"/>
            <w:vAlign w:val="center"/>
          </w:tcPr>
          <w:p w14:paraId="0C1A7C90">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b/>
                <w:bCs/>
                <w:i w:val="0"/>
                <w:iCs w:val="0"/>
                <w:color w:val="auto"/>
                <w:kern w:val="0"/>
                <w:sz w:val="22"/>
                <w:szCs w:val="22"/>
                <w:u w:val="none"/>
                <w:lang w:val="en-US" w:eastAsia="zh-CN" w:bidi="ar"/>
              </w:rPr>
            </w:pPr>
          </w:p>
        </w:tc>
        <w:tc>
          <w:tcPr>
            <w:tcW w:w="9659" w:type="dxa"/>
            <w:noWrap w:val="0"/>
            <w:vAlign w:val="center"/>
          </w:tcPr>
          <w:p w14:paraId="5502B616">
            <w:pPr>
              <w:keepNext w:val="0"/>
              <w:keepLines w:val="0"/>
              <w:widowControl/>
              <w:suppressLineNumbers w:val="0"/>
              <w:spacing w:before="0" w:beforeAutospacing="0" w:after="0" w:afterAutospacing="0"/>
              <w:ind w:left="0" w:right="0"/>
              <w:jc w:val="left"/>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更换中标产品所需耗材、配件需为原厂同品牌同型号且同品质耗材、配件，未符合要求的0分。</w:t>
            </w:r>
          </w:p>
        </w:tc>
        <w:tc>
          <w:tcPr>
            <w:tcW w:w="609" w:type="dxa"/>
            <w:noWrap w:val="0"/>
            <w:vAlign w:val="center"/>
          </w:tcPr>
          <w:p w14:paraId="2F1580F8">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10</w:t>
            </w:r>
          </w:p>
        </w:tc>
        <w:tc>
          <w:tcPr>
            <w:tcW w:w="619" w:type="dxa"/>
            <w:noWrap w:val="0"/>
            <w:vAlign w:val="center"/>
          </w:tcPr>
          <w:p w14:paraId="7686877E">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3057FEA9">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4B37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32BA8D6E">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23</w:t>
            </w:r>
          </w:p>
        </w:tc>
        <w:tc>
          <w:tcPr>
            <w:tcW w:w="1158" w:type="dxa"/>
            <w:noWrap w:val="0"/>
            <w:vAlign w:val="top"/>
          </w:tcPr>
          <w:p w14:paraId="7C310CFD">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站点环境</w:t>
            </w:r>
          </w:p>
        </w:tc>
        <w:tc>
          <w:tcPr>
            <w:tcW w:w="9659" w:type="dxa"/>
            <w:noWrap w:val="0"/>
            <w:vAlign w:val="center"/>
          </w:tcPr>
          <w:p w14:paraId="684B7D9E">
            <w:pPr>
              <w:keepNext w:val="0"/>
              <w:keepLines w:val="0"/>
              <w:widowControl/>
              <w:suppressLineNumbers w:val="0"/>
              <w:spacing w:before="0" w:beforeAutospacing="0" w:after="0" w:afterAutospacing="0"/>
              <w:ind w:left="0" w:right="0"/>
              <w:jc w:val="left"/>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定期清理卫生，保持仪器和站点周边环境卫生。未按要求完成的，按每个站点每次扣0.5分，扣完为止。</w:t>
            </w:r>
          </w:p>
        </w:tc>
        <w:tc>
          <w:tcPr>
            <w:tcW w:w="609" w:type="dxa"/>
            <w:noWrap w:val="0"/>
            <w:vAlign w:val="center"/>
          </w:tcPr>
          <w:p w14:paraId="39CB0500">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4731C034">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15361676">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2E8F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noWrap w:val="0"/>
            <w:vAlign w:val="center"/>
          </w:tcPr>
          <w:p w14:paraId="20798FC0">
            <w:pPr>
              <w:keepNext w:val="0"/>
              <w:keepLines w:val="0"/>
              <w:widowControl/>
              <w:suppressLineNumbers w:val="0"/>
              <w:spacing w:before="0" w:beforeAutospacing="0" w:after="0" w:afterAutospacing="0"/>
              <w:ind w:left="0" w:right="0"/>
              <w:jc w:val="center"/>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24</w:t>
            </w:r>
          </w:p>
        </w:tc>
        <w:tc>
          <w:tcPr>
            <w:tcW w:w="1158" w:type="dxa"/>
            <w:noWrap w:val="0"/>
            <w:vAlign w:val="center"/>
          </w:tcPr>
          <w:p w14:paraId="5A2D78E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32"/>
                <w:szCs w:val="32"/>
                <w:vertAlign w:val="baseline"/>
              </w:rPr>
            </w:pPr>
            <w:r>
              <w:rPr>
                <w:rFonts w:hint="eastAsia" w:ascii="仿宋_GB2312" w:hAnsi="等线" w:eastAsia="仿宋_GB2312" w:cs="仿宋_GB2312"/>
                <w:b/>
                <w:bCs/>
                <w:i w:val="0"/>
                <w:iCs w:val="0"/>
                <w:color w:val="auto"/>
                <w:kern w:val="0"/>
                <w:sz w:val="22"/>
                <w:szCs w:val="22"/>
                <w:u w:val="none"/>
                <w:lang w:val="en-US" w:eastAsia="zh-CN" w:bidi="ar"/>
              </w:rPr>
              <w:t>异常汇报</w:t>
            </w:r>
          </w:p>
        </w:tc>
        <w:tc>
          <w:tcPr>
            <w:tcW w:w="9659" w:type="dxa"/>
            <w:noWrap w:val="0"/>
            <w:vAlign w:val="center"/>
          </w:tcPr>
          <w:p w14:paraId="118718FE">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及时汇报人为干拢、周边环境异常、数据异常等情况，未汇报的视实际情况扣0-2分，扣完为止，未及时汇报出现严重问题的0分。</w:t>
            </w:r>
          </w:p>
        </w:tc>
        <w:tc>
          <w:tcPr>
            <w:tcW w:w="609" w:type="dxa"/>
            <w:noWrap w:val="0"/>
            <w:vAlign w:val="center"/>
          </w:tcPr>
          <w:p w14:paraId="531A338D">
            <w:pPr>
              <w:keepNext w:val="0"/>
              <w:keepLines w:val="0"/>
              <w:widowControl/>
              <w:suppressLineNumbers w:val="0"/>
              <w:spacing w:before="0" w:beforeAutospacing="0" w:after="0" w:afterAutospacing="0"/>
              <w:ind w:left="0" w:right="0"/>
              <w:jc w:val="center"/>
              <w:textAlignment w:val="center"/>
              <w:rPr>
                <w:rFonts w:hint="eastAsia"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2</w:t>
            </w:r>
          </w:p>
        </w:tc>
        <w:tc>
          <w:tcPr>
            <w:tcW w:w="619" w:type="dxa"/>
            <w:noWrap w:val="0"/>
            <w:vAlign w:val="center"/>
          </w:tcPr>
          <w:p w14:paraId="44E1891E">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_GB2312" w:hAnsi="仿宋_GB2312" w:eastAsia="仿宋_GB2312" w:cs="仿宋_GB2312"/>
                <w:color w:val="auto"/>
                <w:sz w:val="22"/>
                <w:szCs w:val="22"/>
                <w:vertAlign w:val="baseline"/>
                <w:lang w:val="en-US" w:eastAsia="zh-CN"/>
              </w:rPr>
            </w:pPr>
          </w:p>
        </w:tc>
        <w:tc>
          <w:tcPr>
            <w:tcW w:w="1007" w:type="dxa"/>
            <w:noWrap w:val="0"/>
            <w:vAlign w:val="top"/>
          </w:tcPr>
          <w:p w14:paraId="16241ECD">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p>
        </w:tc>
      </w:tr>
      <w:tr w14:paraId="0BEF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0" w:type="dxa"/>
            <w:gridSpan w:val="3"/>
            <w:noWrap w:val="0"/>
            <w:vAlign w:val="center"/>
          </w:tcPr>
          <w:p w14:paraId="009FEE21">
            <w:pPr>
              <w:keepNext w:val="0"/>
              <w:keepLines w:val="0"/>
              <w:widowControl/>
              <w:suppressLineNumbers w:val="0"/>
              <w:spacing w:before="0" w:beforeAutospacing="0" w:after="0" w:afterAutospacing="0"/>
              <w:ind w:left="0" w:right="0"/>
              <w:jc w:val="left"/>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合计：</w:t>
            </w:r>
          </w:p>
        </w:tc>
        <w:tc>
          <w:tcPr>
            <w:tcW w:w="609" w:type="dxa"/>
            <w:noWrap w:val="0"/>
            <w:vAlign w:val="center"/>
          </w:tcPr>
          <w:p w14:paraId="0D5C208C">
            <w:pPr>
              <w:keepNext w:val="0"/>
              <w:keepLines w:val="0"/>
              <w:widowControl/>
              <w:suppressLineNumbers w:val="0"/>
              <w:spacing w:before="0" w:beforeAutospacing="0" w:after="0" w:afterAutospacing="0"/>
              <w:ind w:left="0" w:right="0"/>
              <w:jc w:val="both"/>
              <w:textAlignment w:val="center"/>
              <w:rPr>
                <w:rFonts w:hint="default" w:ascii="仿宋_GB2312" w:hAnsi="等线" w:eastAsia="仿宋_GB2312" w:cs="仿宋_GB2312"/>
                <w:i w:val="0"/>
                <w:iCs w:val="0"/>
                <w:color w:val="auto"/>
                <w:kern w:val="0"/>
                <w:sz w:val="22"/>
                <w:szCs w:val="22"/>
                <w:u w:val="none"/>
                <w:lang w:val="en-US" w:eastAsia="zh-CN" w:bidi="ar"/>
              </w:rPr>
            </w:pPr>
            <w:r>
              <w:rPr>
                <w:rFonts w:hint="eastAsia" w:ascii="仿宋_GB2312" w:hAnsi="等线" w:eastAsia="仿宋_GB2312" w:cs="仿宋_GB2312"/>
                <w:i w:val="0"/>
                <w:iCs w:val="0"/>
                <w:color w:val="auto"/>
                <w:kern w:val="0"/>
                <w:sz w:val="22"/>
                <w:szCs w:val="22"/>
                <w:u w:val="none"/>
                <w:lang w:val="en-US" w:eastAsia="zh-CN" w:bidi="ar"/>
              </w:rPr>
              <w:t>100</w:t>
            </w:r>
          </w:p>
        </w:tc>
        <w:tc>
          <w:tcPr>
            <w:tcW w:w="619" w:type="dxa"/>
            <w:noWrap w:val="0"/>
            <w:vAlign w:val="center"/>
          </w:tcPr>
          <w:p w14:paraId="334FEE0B">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仿宋_GB2312" w:hAnsi="仿宋_GB2312" w:eastAsia="仿宋_GB2312" w:cs="仿宋_GB2312"/>
                <w:color w:val="auto"/>
                <w:sz w:val="22"/>
                <w:szCs w:val="22"/>
                <w:vertAlign w:val="baseline"/>
                <w:lang w:val="en-US" w:eastAsia="zh-CN"/>
              </w:rPr>
            </w:pPr>
          </w:p>
        </w:tc>
        <w:tc>
          <w:tcPr>
            <w:tcW w:w="1007" w:type="dxa"/>
            <w:noWrap w:val="0"/>
            <w:vAlign w:val="top"/>
          </w:tcPr>
          <w:p w14:paraId="08CE44DC">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eastAsia" w:ascii="仿宋_GB2312" w:hAnsi="仿宋_GB2312" w:eastAsia="仿宋_GB2312" w:cs="仿宋_GB2312"/>
                <w:color w:val="auto"/>
                <w:sz w:val="32"/>
                <w:szCs w:val="32"/>
                <w:vertAlign w:val="baseline"/>
              </w:rPr>
            </w:pPr>
          </w:p>
        </w:tc>
      </w:tr>
      <w:tr w14:paraId="7F8A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5" w:type="dxa"/>
            <w:gridSpan w:val="6"/>
            <w:noWrap w:val="0"/>
            <w:vAlign w:val="center"/>
          </w:tcPr>
          <w:p w14:paraId="198416AE">
            <w:pPr>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default" w:ascii="仿宋_GB2312" w:hAnsi="仿宋_GB2312" w:eastAsia="仿宋_GB2312" w:cs="仿宋_GB2312"/>
                <w:color w:val="auto"/>
                <w:sz w:val="32"/>
                <w:szCs w:val="32"/>
                <w:vertAlign w:val="baseline"/>
                <w:lang w:val="en-US" w:eastAsia="zh-CN"/>
              </w:rPr>
            </w:pPr>
            <w:r>
              <w:rPr>
                <w:rFonts w:hint="eastAsia" w:ascii="仿宋_GB2312" w:hAnsi="等线" w:eastAsia="仿宋_GB2312" w:cs="仿宋_GB2312"/>
                <w:i w:val="0"/>
                <w:iCs w:val="0"/>
                <w:color w:val="auto"/>
                <w:kern w:val="0"/>
                <w:sz w:val="22"/>
                <w:szCs w:val="22"/>
                <w:u w:val="none"/>
                <w:lang w:val="en-US" w:eastAsia="zh-CN" w:bidi="ar"/>
              </w:rPr>
              <w:t>备注：以上评分除去不可抗力因素的影响。</w:t>
            </w:r>
          </w:p>
        </w:tc>
      </w:tr>
    </w:tbl>
    <w:p w14:paraId="4DCB4C57">
      <w:pPr>
        <w:keepNext w:val="0"/>
        <w:keepLines w:val="0"/>
        <w:widowControl/>
        <w:suppressLineNumbers w:val="0"/>
        <w:ind w:firstLine="1320" w:firstLineChars="600"/>
        <w:jc w:val="left"/>
        <w:textAlignment w:val="center"/>
        <w:rPr>
          <w:rFonts w:hint="default"/>
          <w:color w:val="auto"/>
          <w:lang w:val="en-US" w:eastAsia="zh-CN"/>
        </w:rPr>
      </w:pPr>
      <w:r>
        <w:rPr>
          <w:rFonts w:hint="eastAsia" w:ascii="仿宋_GB2312" w:hAnsi="等线" w:eastAsia="仿宋_GB2312" w:cs="仿宋_GB2312"/>
          <w:i w:val="0"/>
          <w:iCs w:val="0"/>
          <w:color w:val="auto"/>
          <w:kern w:val="0"/>
          <w:sz w:val="22"/>
          <w:szCs w:val="22"/>
          <w:u w:val="none"/>
          <w:lang w:val="en-US" w:eastAsia="zh-CN" w:bidi="ar"/>
        </w:rPr>
        <w:t>考核日期：    年  月  日            检查人员：                    运维公司代表签字：</w:t>
      </w:r>
    </w:p>
    <w:p w14:paraId="2CBC08B2">
      <w:pPr>
        <w:pStyle w:val="11"/>
        <w:rPr>
          <w:rFonts w:hint="eastAsia"/>
          <w:color w:val="auto"/>
          <w:lang w:val="en-US" w:eastAsia="zh-CN"/>
        </w:rPr>
        <w:sectPr>
          <w:pgSz w:w="16840" w:h="11910" w:orient="landscape"/>
          <w:pgMar w:top="1162" w:right="1162" w:bottom="1162" w:left="1162" w:header="768" w:footer="624" w:gutter="0"/>
          <w:pgNumType w:fmt="decimal"/>
          <w:cols w:space="720" w:num="1"/>
          <w:titlePg/>
        </w:sectPr>
      </w:pPr>
    </w:p>
    <w:p w14:paraId="455C5F6A">
      <w:pPr>
        <w:pStyle w:val="11"/>
        <w:rPr>
          <w:rFonts w:hint="eastAsia"/>
          <w:color w:val="auto"/>
          <w:lang w:val="en-US" w:eastAsia="zh-CN"/>
        </w:rPr>
      </w:pPr>
    </w:p>
    <w:p w14:paraId="1B44AE8B">
      <w:pPr>
        <w:pStyle w:val="3"/>
        <w:bidi w:val="0"/>
        <w:spacing w:line="480" w:lineRule="auto"/>
        <w:rPr>
          <w:rFonts w:hint="eastAsia" w:ascii="宋体" w:hAnsi="宋体" w:eastAsia="宋体" w:cs="宋体"/>
          <w:color w:val="auto"/>
          <w:sz w:val="30"/>
          <w:szCs w:val="30"/>
          <w:lang w:val="en-US"/>
        </w:rPr>
      </w:pPr>
      <w:bookmarkStart w:id="49" w:name="_Toc15638"/>
      <w:r>
        <w:rPr>
          <w:rFonts w:hint="eastAsia" w:ascii="宋体" w:hAnsi="宋体" w:eastAsia="宋体" w:cs="宋体"/>
          <w:color w:val="auto"/>
          <w:sz w:val="30"/>
          <w:szCs w:val="30"/>
          <w:lang w:val="en-US" w:eastAsia="zh-CN"/>
        </w:rPr>
        <w:t>第四章 竞争性磋商响应文件格式</w:t>
      </w:r>
      <w:bookmarkEnd w:id="47"/>
      <w:bookmarkEnd w:id="49"/>
    </w:p>
    <w:p w14:paraId="29BA5F8D">
      <w:pPr>
        <w:spacing w:line="360" w:lineRule="auto"/>
        <w:rPr>
          <w:color w:val="auto"/>
          <w:highlight w:val="none"/>
        </w:rPr>
      </w:pPr>
    </w:p>
    <w:p w14:paraId="39A3A334">
      <w:pPr>
        <w:pStyle w:val="4"/>
        <w:spacing w:line="360" w:lineRule="auto"/>
        <w:ind w:left="0" w:leftChars="0" w:firstLine="0" w:firstLineChars="0"/>
        <w:rPr>
          <w:color w:val="auto"/>
          <w:highlight w:val="none"/>
        </w:rPr>
      </w:pPr>
      <w:r>
        <w:rPr>
          <w:rFonts w:hint="eastAsia"/>
          <w:color w:val="auto"/>
          <w:highlight w:val="none"/>
        </w:rPr>
        <w:t>一、竞争性磋商响应文件外包装封面及竞争性磋商响应文件封面格式</w:t>
      </w:r>
    </w:p>
    <w:p w14:paraId="22D76AD0">
      <w:pPr>
        <w:snapToGrid w:val="0"/>
        <w:spacing w:before="120" w:beforeLines="50" w:after="50" w:line="360" w:lineRule="auto"/>
        <w:rPr>
          <w:b/>
          <w:color w:val="auto"/>
          <w:szCs w:val="21"/>
          <w:highlight w:val="none"/>
        </w:rPr>
      </w:pPr>
    </w:p>
    <w:p w14:paraId="78FE9563">
      <w:pPr>
        <w:snapToGrid w:val="0"/>
        <w:spacing w:before="120" w:beforeLines="50" w:after="50" w:line="360" w:lineRule="auto"/>
        <w:rPr>
          <w:b/>
          <w:color w:val="auto"/>
          <w:szCs w:val="21"/>
          <w:highlight w:val="none"/>
        </w:rPr>
      </w:pPr>
      <w:r>
        <w:rPr>
          <w:rFonts w:hint="eastAsia"/>
          <w:b/>
          <w:color w:val="auto"/>
          <w:szCs w:val="21"/>
          <w:highlight w:val="none"/>
        </w:rPr>
        <w:t>（一）</w:t>
      </w:r>
      <w:r>
        <w:rPr>
          <w:rFonts w:hint="eastAsia"/>
          <w:b/>
          <w:color w:val="auto"/>
          <w:highlight w:val="none"/>
        </w:rPr>
        <w:t>竞争性磋商响应文件</w:t>
      </w:r>
      <w:r>
        <w:rPr>
          <w:rFonts w:hint="eastAsia"/>
          <w:b/>
          <w:color w:val="auto"/>
          <w:szCs w:val="21"/>
          <w:highlight w:val="none"/>
        </w:rPr>
        <w:t>的外包装封面格式：</w:t>
      </w:r>
    </w:p>
    <w:p w14:paraId="4B70EC21">
      <w:pPr>
        <w:snapToGrid w:val="0"/>
        <w:spacing w:before="120" w:beforeLines="50" w:after="50" w:line="360" w:lineRule="auto"/>
        <w:rPr>
          <w:color w:val="auto"/>
          <w:szCs w:val="21"/>
          <w:highlight w:val="none"/>
        </w:rPr>
      </w:pPr>
    </w:p>
    <w:p w14:paraId="656E4920">
      <w:pPr>
        <w:snapToGrid w:val="0"/>
        <w:spacing w:before="120" w:beforeLines="50" w:after="50" w:line="360" w:lineRule="auto"/>
        <w:jc w:val="center"/>
        <w:rPr>
          <w:color w:val="auto"/>
          <w:szCs w:val="21"/>
          <w:highlight w:val="none"/>
        </w:rPr>
      </w:pPr>
      <w:r>
        <w:rPr>
          <w:rFonts w:hint="eastAsia"/>
          <w:b/>
          <w:color w:val="auto"/>
          <w:sz w:val="32"/>
          <w:szCs w:val="32"/>
          <w:highlight w:val="none"/>
        </w:rPr>
        <w:t>竞争性磋商响应文件</w:t>
      </w:r>
    </w:p>
    <w:p w14:paraId="6106A8D7">
      <w:pPr>
        <w:pStyle w:val="13"/>
        <w:spacing w:line="360" w:lineRule="auto"/>
        <w:rPr>
          <w:color w:val="auto"/>
          <w:highlight w:val="none"/>
        </w:rPr>
      </w:pPr>
      <w:r>
        <w:rPr>
          <w:rFonts w:hint="eastAsia"/>
          <w:color w:val="auto"/>
          <w:highlight w:val="none"/>
        </w:rPr>
        <w:t>项目名称：</w:t>
      </w:r>
    </w:p>
    <w:p w14:paraId="77264941">
      <w:pPr>
        <w:pStyle w:val="13"/>
        <w:spacing w:line="360" w:lineRule="auto"/>
        <w:rPr>
          <w:color w:val="auto"/>
          <w:highlight w:val="none"/>
        </w:rPr>
      </w:pPr>
      <w:r>
        <w:rPr>
          <w:rFonts w:hint="eastAsia"/>
          <w:color w:val="auto"/>
          <w:highlight w:val="none"/>
        </w:rPr>
        <w:t>项目编号：</w:t>
      </w:r>
    </w:p>
    <w:p w14:paraId="79F4B1ED">
      <w:pPr>
        <w:pStyle w:val="9"/>
        <w:snapToGrid w:val="0"/>
        <w:spacing w:before="50" w:after="50" w:line="360" w:lineRule="auto"/>
        <w:ind w:firstLine="0"/>
        <w:rPr>
          <w:bCs/>
          <w:color w:val="auto"/>
          <w:szCs w:val="21"/>
          <w:highlight w:val="none"/>
        </w:rPr>
      </w:pPr>
      <w:r>
        <w:rPr>
          <w:rFonts w:hint="eastAsia"/>
          <w:color w:val="auto"/>
          <w:szCs w:val="21"/>
          <w:highlight w:val="none"/>
        </w:rPr>
        <w:t>供应商名称</w:t>
      </w:r>
      <w:r>
        <w:rPr>
          <w:rFonts w:hint="eastAsia"/>
          <w:bCs/>
          <w:color w:val="auto"/>
          <w:szCs w:val="21"/>
          <w:highlight w:val="none"/>
        </w:rPr>
        <w:t>：</w:t>
      </w:r>
    </w:p>
    <w:p w14:paraId="3B1C3C17">
      <w:pPr>
        <w:pStyle w:val="9"/>
        <w:snapToGrid w:val="0"/>
        <w:spacing w:before="50" w:after="50" w:line="360" w:lineRule="auto"/>
        <w:ind w:firstLine="0"/>
        <w:rPr>
          <w:bCs/>
          <w:color w:val="auto"/>
          <w:szCs w:val="21"/>
          <w:highlight w:val="none"/>
        </w:rPr>
      </w:pPr>
      <w:r>
        <w:rPr>
          <w:rFonts w:hint="eastAsia"/>
          <w:bCs/>
          <w:color w:val="auto"/>
          <w:szCs w:val="21"/>
          <w:highlight w:val="none"/>
        </w:rPr>
        <w:t>（截标时才能启封）</w:t>
      </w:r>
    </w:p>
    <w:p w14:paraId="23793B20">
      <w:pPr>
        <w:pStyle w:val="9"/>
        <w:snapToGrid w:val="0"/>
        <w:spacing w:before="50" w:after="50" w:line="360" w:lineRule="auto"/>
        <w:ind w:firstLine="0"/>
        <w:rPr>
          <w:bCs/>
          <w:color w:val="auto"/>
          <w:szCs w:val="21"/>
          <w:highlight w:val="none"/>
        </w:rPr>
      </w:pPr>
    </w:p>
    <w:p w14:paraId="505DDFA7">
      <w:pPr>
        <w:pStyle w:val="9"/>
        <w:snapToGrid w:val="0"/>
        <w:spacing w:before="50" w:after="50" w:line="360" w:lineRule="auto"/>
        <w:ind w:firstLine="0"/>
        <w:rPr>
          <w:bCs/>
          <w:color w:val="auto"/>
          <w:szCs w:val="21"/>
          <w:highlight w:val="none"/>
        </w:rPr>
      </w:pPr>
    </w:p>
    <w:p w14:paraId="345F96FF">
      <w:pPr>
        <w:snapToGrid w:val="0"/>
        <w:spacing w:before="120" w:beforeLines="50" w:after="50" w:line="360" w:lineRule="auto"/>
        <w:rPr>
          <w:b/>
          <w:color w:val="auto"/>
          <w:sz w:val="24"/>
          <w:highlight w:val="none"/>
        </w:rPr>
      </w:pPr>
      <w:r>
        <w:rPr>
          <w:rFonts w:hint="eastAsia"/>
          <w:b/>
          <w:color w:val="auto"/>
          <w:szCs w:val="21"/>
          <w:highlight w:val="none"/>
        </w:rPr>
        <w:t>（二）</w:t>
      </w:r>
      <w:r>
        <w:rPr>
          <w:rFonts w:hint="eastAsia"/>
          <w:b/>
          <w:color w:val="auto"/>
          <w:highlight w:val="none"/>
        </w:rPr>
        <w:t>竞争性磋商响应文件</w:t>
      </w:r>
      <w:r>
        <w:rPr>
          <w:rFonts w:hint="eastAsia"/>
          <w:b/>
          <w:color w:val="auto"/>
          <w:szCs w:val="21"/>
          <w:highlight w:val="none"/>
        </w:rPr>
        <w:t>封面格式：</w:t>
      </w:r>
    </w:p>
    <w:p w14:paraId="4C902C3A">
      <w:pPr>
        <w:snapToGrid w:val="0"/>
        <w:spacing w:before="120" w:beforeLines="50" w:after="50" w:line="360" w:lineRule="auto"/>
        <w:ind w:left="7200"/>
        <w:rPr>
          <w:bCs/>
          <w:color w:val="auto"/>
          <w:sz w:val="24"/>
          <w:highlight w:val="none"/>
        </w:rPr>
      </w:pPr>
      <w:r>
        <w:rPr>
          <w:rFonts w:hint="eastAsia"/>
          <w:b/>
          <w:bCs/>
          <w:color w:val="auto"/>
          <w:szCs w:val="21"/>
          <w:highlight w:val="none"/>
        </w:rPr>
        <w:t>（正/副本）</w:t>
      </w:r>
    </w:p>
    <w:p w14:paraId="4BBFCDFD">
      <w:pPr>
        <w:snapToGrid w:val="0"/>
        <w:spacing w:before="120" w:beforeLines="50" w:after="50" w:line="360" w:lineRule="auto"/>
        <w:jc w:val="center"/>
        <w:rPr>
          <w:bCs/>
          <w:color w:val="auto"/>
          <w:sz w:val="24"/>
          <w:highlight w:val="none"/>
        </w:rPr>
      </w:pPr>
      <w:r>
        <w:rPr>
          <w:rFonts w:hint="eastAsia"/>
          <w:b/>
          <w:color w:val="auto"/>
          <w:sz w:val="32"/>
          <w:szCs w:val="32"/>
          <w:highlight w:val="none"/>
        </w:rPr>
        <w:t>竞争性磋商响应文件（封面）</w:t>
      </w:r>
    </w:p>
    <w:p w14:paraId="53634D0F">
      <w:pPr>
        <w:spacing w:line="360" w:lineRule="auto"/>
        <w:rPr>
          <w:color w:val="auto"/>
          <w:szCs w:val="21"/>
          <w:highlight w:val="none"/>
        </w:rPr>
      </w:pPr>
    </w:p>
    <w:p w14:paraId="4CA54391">
      <w:pPr>
        <w:spacing w:line="360" w:lineRule="auto"/>
        <w:rPr>
          <w:color w:val="auto"/>
          <w:szCs w:val="21"/>
          <w:highlight w:val="none"/>
          <w:u w:val="single"/>
        </w:rPr>
      </w:pPr>
      <w:r>
        <w:rPr>
          <w:rFonts w:hint="eastAsia"/>
          <w:color w:val="auto"/>
          <w:szCs w:val="21"/>
          <w:highlight w:val="none"/>
        </w:rPr>
        <w:t>项目名称：</w:t>
      </w:r>
    </w:p>
    <w:p w14:paraId="2A25A13E">
      <w:pPr>
        <w:snapToGrid w:val="0"/>
        <w:spacing w:before="120" w:beforeLines="50" w:after="50" w:line="360" w:lineRule="auto"/>
        <w:rPr>
          <w:color w:val="auto"/>
          <w:szCs w:val="21"/>
          <w:highlight w:val="none"/>
          <w:u w:val="single"/>
        </w:rPr>
      </w:pPr>
      <w:r>
        <w:rPr>
          <w:rFonts w:hint="eastAsia"/>
          <w:color w:val="auto"/>
          <w:szCs w:val="21"/>
          <w:highlight w:val="none"/>
        </w:rPr>
        <w:t>项目编号：</w:t>
      </w:r>
    </w:p>
    <w:p w14:paraId="14FEE16D">
      <w:pPr>
        <w:snapToGrid w:val="0"/>
        <w:spacing w:before="120" w:beforeLines="50" w:after="50" w:line="360" w:lineRule="auto"/>
        <w:rPr>
          <w:bCs/>
          <w:color w:val="auto"/>
          <w:szCs w:val="21"/>
          <w:highlight w:val="none"/>
        </w:rPr>
      </w:pPr>
      <w:r>
        <w:rPr>
          <w:rFonts w:hint="eastAsia"/>
          <w:color w:val="auto"/>
          <w:szCs w:val="21"/>
          <w:highlight w:val="none"/>
        </w:rPr>
        <w:t>供应商名称</w:t>
      </w:r>
      <w:r>
        <w:rPr>
          <w:rFonts w:hint="eastAsia"/>
          <w:bCs/>
          <w:color w:val="auto"/>
          <w:szCs w:val="21"/>
          <w:highlight w:val="none"/>
        </w:rPr>
        <w:t>：</w:t>
      </w:r>
    </w:p>
    <w:p w14:paraId="4311C799">
      <w:pPr>
        <w:spacing w:line="360" w:lineRule="auto"/>
        <w:rPr>
          <w:color w:val="auto"/>
          <w:highlight w:val="none"/>
        </w:rPr>
      </w:pPr>
    </w:p>
    <w:p w14:paraId="3D5EB17C">
      <w:pPr>
        <w:spacing w:line="360" w:lineRule="auto"/>
        <w:rPr>
          <w:color w:val="auto"/>
          <w:highlight w:val="none"/>
        </w:rPr>
      </w:pPr>
      <w:r>
        <w:rPr>
          <w:rFonts w:hint="eastAsia"/>
          <w:color w:val="auto"/>
          <w:highlight w:val="none"/>
        </w:rPr>
        <w:t xml:space="preserve">                                       年    月    日</w:t>
      </w:r>
    </w:p>
    <w:p w14:paraId="5692F9C8">
      <w:pPr>
        <w:spacing w:line="360" w:lineRule="auto"/>
        <w:rPr>
          <w:b/>
          <w:color w:val="auto"/>
          <w:sz w:val="28"/>
          <w:szCs w:val="28"/>
          <w:highlight w:val="none"/>
        </w:rPr>
      </w:pPr>
      <w:r>
        <w:rPr>
          <w:b/>
          <w:color w:val="auto"/>
          <w:sz w:val="28"/>
          <w:szCs w:val="28"/>
          <w:highlight w:val="none"/>
        </w:rPr>
        <w:br w:type="page"/>
      </w:r>
    </w:p>
    <w:p w14:paraId="6E967ADE">
      <w:pPr>
        <w:pStyle w:val="4"/>
        <w:spacing w:line="360" w:lineRule="auto"/>
        <w:rPr>
          <w:color w:val="auto"/>
          <w:highlight w:val="none"/>
        </w:rPr>
      </w:pPr>
      <w:r>
        <w:rPr>
          <w:rFonts w:hint="eastAsia"/>
          <w:color w:val="auto"/>
          <w:highlight w:val="none"/>
        </w:rPr>
        <w:t>二、附  件</w:t>
      </w:r>
    </w:p>
    <w:p w14:paraId="322C52A7">
      <w:pPr>
        <w:spacing w:line="360" w:lineRule="auto"/>
        <w:rPr>
          <w:color w:val="auto"/>
          <w:szCs w:val="21"/>
          <w:highlight w:val="none"/>
        </w:rPr>
      </w:pPr>
      <w:r>
        <w:rPr>
          <w:rFonts w:hint="eastAsia"/>
          <w:color w:val="auto"/>
          <w:szCs w:val="21"/>
          <w:highlight w:val="none"/>
        </w:rPr>
        <w:t xml:space="preserve">附件1 </w:t>
      </w:r>
    </w:p>
    <w:p w14:paraId="6867D9DD">
      <w:pPr>
        <w:pStyle w:val="5"/>
        <w:spacing w:line="360" w:lineRule="auto"/>
        <w:rPr>
          <w:rFonts w:ascii="方正小标宋简体" w:eastAsia="方正小标宋简体"/>
          <w:color w:val="auto"/>
          <w:highlight w:val="none"/>
        </w:rPr>
      </w:pPr>
      <w:r>
        <w:rPr>
          <w:rFonts w:hint="eastAsia"/>
          <w:color w:val="auto"/>
          <w:highlight w:val="none"/>
        </w:rPr>
        <w:t>磋 商 书</w:t>
      </w:r>
    </w:p>
    <w:p w14:paraId="22FB053E">
      <w:pPr>
        <w:spacing w:line="360" w:lineRule="auto"/>
        <w:jc w:val="center"/>
        <w:rPr>
          <w:b/>
          <w:color w:val="auto"/>
          <w:szCs w:val="21"/>
          <w:highlight w:val="none"/>
        </w:rPr>
      </w:pPr>
    </w:p>
    <w:p w14:paraId="39D26157">
      <w:pPr>
        <w:pStyle w:val="13"/>
        <w:spacing w:line="360" w:lineRule="auto"/>
        <w:rPr>
          <w:rFonts w:hAnsi="宋体"/>
          <w:color w:val="auto"/>
          <w:highlight w:val="none"/>
        </w:rPr>
      </w:pPr>
      <w:r>
        <w:rPr>
          <w:rFonts w:hint="eastAsia" w:hAnsi="宋体"/>
          <w:color w:val="auto"/>
          <w:highlight w:val="none"/>
          <w:u w:val="single"/>
        </w:rPr>
        <w:t>广西瑞真工程造价咨询有限责任公司</w:t>
      </w:r>
      <w:r>
        <w:rPr>
          <w:rFonts w:hint="eastAsia" w:hAnsi="宋体"/>
          <w:color w:val="auto"/>
          <w:highlight w:val="none"/>
        </w:rPr>
        <w:t>：</w:t>
      </w:r>
    </w:p>
    <w:p w14:paraId="19471130">
      <w:pPr>
        <w:pStyle w:val="13"/>
        <w:spacing w:line="360" w:lineRule="auto"/>
        <w:ind w:firstLine="440" w:firstLineChars="200"/>
        <w:rPr>
          <w:rFonts w:hAnsi="宋体"/>
          <w:color w:val="auto"/>
          <w:highlight w:val="none"/>
        </w:rPr>
      </w:pPr>
      <w:r>
        <w:rPr>
          <w:rFonts w:hint="eastAsia" w:hAnsi="宋体"/>
          <w:color w:val="auto"/>
          <w:highlight w:val="none"/>
        </w:rPr>
        <w:t>依据贵方</w:t>
      </w:r>
      <w:r>
        <w:rPr>
          <w:rFonts w:hint="eastAsia" w:hAnsi="宋体"/>
          <w:color w:val="auto"/>
          <w:highlight w:val="none"/>
          <w:u w:val="single"/>
        </w:rPr>
        <w:t>（项目名称/项目编号）</w:t>
      </w:r>
      <w:r>
        <w:rPr>
          <w:rFonts w:hint="eastAsia" w:hAnsi="宋体"/>
          <w:color w:val="auto"/>
          <w:highlight w:val="none"/>
        </w:rPr>
        <w:t>项目政府采购的磋商邀请，我方</w:t>
      </w:r>
      <w:r>
        <w:rPr>
          <w:rFonts w:hint="eastAsia" w:hAnsi="宋体"/>
          <w:color w:val="auto"/>
          <w:highlight w:val="none"/>
          <w:u w:val="single"/>
        </w:rPr>
        <w:t>（姓名和职务）</w:t>
      </w:r>
      <w:r>
        <w:rPr>
          <w:rFonts w:hint="eastAsia" w:hAnsi="宋体"/>
          <w:color w:val="auto"/>
          <w:highlight w:val="none"/>
        </w:rPr>
        <w:t>经正式授权并代表</w:t>
      </w:r>
      <w:r>
        <w:rPr>
          <w:rFonts w:hint="eastAsia" w:hAnsi="宋体"/>
          <w:color w:val="auto"/>
          <w:highlight w:val="none"/>
          <w:lang w:eastAsia="zh-CN"/>
        </w:rPr>
        <w:t>本公司</w:t>
      </w:r>
      <w:r>
        <w:rPr>
          <w:rFonts w:hint="eastAsia" w:hAnsi="宋体"/>
          <w:color w:val="auto"/>
          <w:highlight w:val="none"/>
          <w:u w:val="single"/>
        </w:rPr>
        <w:t>（供应商名称、地址）</w:t>
      </w:r>
      <w:r>
        <w:rPr>
          <w:rFonts w:hint="eastAsia" w:hAnsi="宋体"/>
          <w:color w:val="auto"/>
          <w:highlight w:val="none"/>
        </w:rPr>
        <w:t>提交下述竞争性磋商响应文件</w:t>
      </w:r>
      <w:r>
        <w:rPr>
          <w:rFonts w:hint="eastAsia" w:hAnsi="宋体"/>
          <w:b/>
          <w:color w:val="auto"/>
          <w:highlight w:val="none"/>
        </w:rPr>
        <w:t>（价格文件、商务技术文件），</w:t>
      </w:r>
      <w:r>
        <w:rPr>
          <w:rFonts w:hint="eastAsia" w:hAnsi="宋体"/>
          <w:color w:val="auto"/>
          <w:highlight w:val="none"/>
        </w:rPr>
        <w:t>其中正本</w:t>
      </w:r>
      <w:r>
        <w:rPr>
          <w:rFonts w:hint="eastAsia" w:hAnsi="宋体"/>
          <w:color w:val="auto"/>
          <w:highlight w:val="none"/>
          <w:u w:val="single"/>
        </w:rPr>
        <w:t>一</w:t>
      </w:r>
      <w:r>
        <w:rPr>
          <w:rFonts w:hint="eastAsia" w:hAnsi="宋体"/>
          <w:color w:val="auto"/>
          <w:highlight w:val="none"/>
        </w:rPr>
        <w:t>份、副本</w:t>
      </w:r>
      <w:r>
        <w:rPr>
          <w:rFonts w:hint="eastAsia" w:hAnsi="宋体"/>
          <w:color w:val="auto"/>
          <w:highlight w:val="none"/>
          <w:u w:val="single"/>
        </w:rPr>
        <w:t>二份</w:t>
      </w:r>
      <w:r>
        <w:rPr>
          <w:rFonts w:hint="eastAsia" w:hAnsi="宋体"/>
          <w:color w:val="auto"/>
          <w:highlight w:val="none"/>
        </w:rPr>
        <w:t>。</w:t>
      </w:r>
    </w:p>
    <w:p w14:paraId="54DDC1A1">
      <w:pPr>
        <w:pStyle w:val="13"/>
        <w:spacing w:line="360" w:lineRule="auto"/>
        <w:ind w:firstLine="440" w:firstLineChars="200"/>
        <w:rPr>
          <w:rFonts w:hAnsi="宋体"/>
          <w:color w:val="auto"/>
          <w:highlight w:val="none"/>
        </w:rPr>
      </w:pPr>
      <w:r>
        <w:rPr>
          <w:rFonts w:hint="eastAsia" w:hAnsi="宋体"/>
          <w:color w:val="auto"/>
          <w:highlight w:val="none"/>
        </w:rPr>
        <w:t>1.报价表；</w:t>
      </w:r>
    </w:p>
    <w:p w14:paraId="1C8ED5F3">
      <w:pPr>
        <w:pStyle w:val="13"/>
        <w:spacing w:line="360" w:lineRule="auto"/>
        <w:ind w:firstLine="440" w:firstLineChars="200"/>
        <w:rPr>
          <w:rFonts w:hAnsi="宋体"/>
          <w:color w:val="auto"/>
          <w:highlight w:val="none"/>
        </w:rPr>
      </w:pPr>
      <w:r>
        <w:rPr>
          <w:rFonts w:hint="eastAsia" w:hAnsi="宋体"/>
          <w:color w:val="auto"/>
          <w:highlight w:val="none"/>
        </w:rPr>
        <w:t>2．服务方案(含服务承诺)；</w:t>
      </w:r>
    </w:p>
    <w:p w14:paraId="7AA33DA9">
      <w:pPr>
        <w:pStyle w:val="13"/>
        <w:spacing w:line="360" w:lineRule="auto"/>
        <w:ind w:firstLine="440" w:firstLineChars="200"/>
        <w:rPr>
          <w:rFonts w:hAnsi="宋体"/>
          <w:color w:val="auto"/>
          <w:highlight w:val="none"/>
        </w:rPr>
      </w:pPr>
      <w:r>
        <w:rPr>
          <w:rFonts w:hint="eastAsia" w:hAnsi="宋体"/>
          <w:color w:val="auto"/>
          <w:highlight w:val="none"/>
        </w:rPr>
        <w:t>3.资格证明文件；</w:t>
      </w:r>
    </w:p>
    <w:p w14:paraId="177299C8">
      <w:pPr>
        <w:pStyle w:val="13"/>
        <w:spacing w:line="360" w:lineRule="auto"/>
        <w:ind w:firstLine="440" w:firstLineChars="200"/>
        <w:rPr>
          <w:rFonts w:hAnsi="宋体"/>
          <w:color w:val="auto"/>
          <w:highlight w:val="none"/>
        </w:rPr>
      </w:pPr>
      <w:r>
        <w:rPr>
          <w:rFonts w:hint="eastAsia" w:hAnsi="宋体"/>
          <w:color w:val="auto"/>
          <w:highlight w:val="none"/>
        </w:rPr>
        <w:t>4.按竞争性磋商文件供应商须知和采购需求提供的有关文件。</w:t>
      </w:r>
    </w:p>
    <w:p w14:paraId="1DBF6633">
      <w:pPr>
        <w:pStyle w:val="13"/>
        <w:spacing w:line="360" w:lineRule="auto"/>
        <w:ind w:firstLine="440" w:firstLineChars="200"/>
        <w:rPr>
          <w:rFonts w:hAnsi="宋体"/>
          <w:color w:val="auto"/>
          <w:highlight w:val="none"/>
        </w:rPr>
      </w:pPr>
      <w:r>
        <w:rPr>
          <w:rFonts w:hint="eastAsia" w:hAnsi="宋体"/>
          <w:color w:val="auto"/>
          <w:highlight w:val="none"/>
        </w:rPr>
        <w:t>在此，授权代表宣布同意如下：</w:t>
      </w:r>
    </w:p>
    <w:p w14:paraId="4300FC30">
      <w:pPr>
        <w:pStyle w:val="13"/>
        <w:spacing w:line="360" w:lineRule="auto"/>
        <w:ind w:firstLine="440" w:firstLineChars="200"/>
        <w:rPr>
          <w:rFonts w:hAnsi="宋体"/>
          <w:color w:val="auto"/>
          <w:highlight w:val="none"/>
        </w:rPr>
      </w:pPr>
      <w:r>
        <w:rPr>
          <w:rFonts w:hint="eastAsia" w:hAnsi="宋体"/>
          <w:color w:val="auto"/>
          <w:highlight w:val="none"/>
        </w:rPr>
        <w:t>1.将按竞争性磋商文件的约定履行合同责任和义务；</w:t>
      </w:r>
    </w:p>
    <w:p w14:paraId="4361C6F5">
      <w:pPr>
        <w:pStyle w:val="13"/>
        <w:spacing w:line="360" w:lineRule="auto"/>
        <w:ind w:firstLine="440" w:firstLineChars="200"/>
        <w:rPr>
          <w:rFonts w:hAnsi="宋体"/>
          <w:color w:val="auto"/>
          <w:highlight w:val="none"/>
        </w:rPr>
      </w:pPr>
      <w:r>
        <w:rPr>
          <w:rFonts w:hint="eastAsia" w:hAnsi="宋体"/>
          <w:color w:val="auto"/>
          <w:highlight w:val="none"/>
        </w:rPr>
        <w:t>2.已详细审查全部竞争性磋商文件，包括</w:t>
      </w:r>
      <w:r>
        <w:rPr>
          <w:rFonts w:hint="eastAsia" w:hAnsi="宋体"/>
          <w:color w:val="auto"/>
          <w:highlight w:val="none"/>
          <w:u w:val="single"/>
        </w:rPr>
        <w:t>（补遗文件）（如果有的话）</w:t>
      </w:r>
      <w:r>
        <w:rPr>
          <w:rFonts w:hint="eastAsia" w:hAnsi="宋体"/>
          <w:color w:val="auto"/>
          <w:highlight w:val="none"/>
        </w:rPr>
        <w:t>；</w:t>
      </w:r>
    </w:p>
    <w:p w14:paraId="5F52B464">
      <w:pPr>
        <w:pStyle w:val="13"/>
        <w:spacing w:line="360" w:lineRule="auto"/>
        <w:ind w:firstLine="440" w:firstLineChars="200"/>
        <w:rPr>
          <w:rFonts w:hAnsi="宋体"/>
          <w:color w:val="auto"/>
          <w:highlight w:val="none"/>
        </w:rPr>
      </w:pPr>
      <w:r>
        <w:rPr>
          <w:rFonts w:hint="eastAsia" w:hAnsi="宋体"/>
          <w:color w:val="auto"/>
          <w:highlight w:val="none"/>
        </w:rPr>
        <w:t>3.同意提供按照贵方可能要求的与其磋商有关的一切数据或资料；</w:t>
      </w:r>
    </w:p>
    <w:p w14:paraId="4FFB1EA2">
      <w:pPr>
        <w:pStyle w:val="13"/>
        <w:spacing w:line="360" w:lineRule="auto"/>
        <w:ind w:firstLine="440" w:firstLineChars="200"/>
        <w:rPr>
          <w:rFonts w:hAnsi="宋体"/>
          <w:color w:val="auto"/>
          <w:highlight w:val="none"/>
          <w:u w:val="single"/>
        </w:rPr>
      </w:pPr>
      <w:r>
        <w:rPr>
          <w:rFonts w:hint="eastAsia" w:hAnsi="宋体"/>
          <w:color w:val="auto"/>
          <w:highlight w:val="none"/>
        </w:rPr>
        <w:t>4.与本磋商有关的一切正式往来信函请寄：</w:t>
      </w:r>
    </w:p>
    <w:p w14:paraId="6D053928">
      <w:pPr>
        <w:pStyle w:val="13"/>
        <w:spacing w:line="360" w:lineRule="auto"/>
        <w:ind w:firstLine="440" w:firstLineChars="200"/>
        <w:rPr>
          <w:rFonts w:hint="default" w:hAnsi="宋体" w:eastAsia="宋体"/>
          <w:color w:val="auto"/>
          <w:highlight w:val="none"/>
          <w:u w:val="single"/>
          <w:lang w:val="en-US" w:eastAsia="zh-CN"/>
        </w:rPr>
      </w:pPr>
      <w:r>
        <w:rPr>
          <w:rFonts w:hint="eastAsia" w:hAnsi="宋体"/>
          <w:color w:val="auto"/>
          <w:highlight w:val="none"/>
        </w:rPr>
        <w:t>开户银行：</w:t>
      </w:r>
      <w:r>
        <w:rPr>
          <w:rFonts w:hint="eastAsia" w:hAnsi="宋体"/>
          <w:color w:val="auto"/>
          <w:highlight w:val="none"/>
          <w:u w:val="single"/>
          <w:lang w:val="en-US" w:eastAsia="zh-CN"/>
        </w:rPr>
        <w:t xml:space="preserve">          </w:t>
      </w:r>
      <w:r>
        <w:rPr>
          <w:rFonts w:hint="eastAsia" w:hAnsi="宋体"/>
          <w:color w:val="auto"/>
          <w:highlight w:val="none"/>
          <w:lang w:val="en-US" w:eastAsia="zh-CN"/>
        </w:rPr>
        <w:t xml:space="preserve"> </w:t>
      </w:r>
      <w:r>
        <w:rPr>
          <w:rFonts w:hint="eastAsia" w:hAnsi="宋体"/>
          <w:color w:val="auto"/>
          <w:highlight w:val="none"/>
        </w:rPr>
        <w:t>帐号/行号：</w:t>
      </w:r>
      <w:r>
        <w:rPr>
          <w:rFonts w:hint="eastAsia" w:hAnsi="宋体"/>
          <w:color w:val="auto"/>
          <w:highlight w:val="none"/>
          <w:u w:val="single"/>
          <w:lang w:val="en-US" w:eastAsia="zh-CN"/>
        </w:rPr>
        <w:t xml:space="preserve">          </w:t>
      </w:r>
    </w:p>
    <w:p w14:paraId="4A079142">
      <w:pPr>
        <w:pStyle w:val="13"/>
        <w:spacing w:line="360" w:lineRule="auto"/>
        <w:ind w:firstLine="440" w:firstLineChars="200"/>
        <w:rPr>
          <w:rFonts w:hint="default" w:hAnsi="宋体" w:eastAsia="宋体"/>
          <w:color w:val="auto"/>
          <w:highlight w:val="none"/>
          <w:u w:val="single"/>
          <w:lang w:val="en-US" w:eastAsia="zh-CN"/>
        </w:rPr>
      </w:pPr>
      <w:r>
        <w:rPr>
          <w:rFonts w:hint="eastAsia" w:hAnsi="宋体"/>
          <w:color w:val="auto"/>
          <w:highlight w:val="none"/>
        </w:rPr>
        <w:t>电话/传真：</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r>
        <w:rPr>
          <w:rFonts w:hint="eastAsia" w:hAnsi="宋体"/>
          <w:color w:val="auto"/>
          <w:highlight w:val="none"/>
        </w:rPr>
        <w:t>电子函件：</w:t>
      </w:r>
      <w:r>
        <w:rPr>
          <w:rFonts w:hint="eastAsia" w:hAnsi="宋体"/>
          <w:color w:val="auto"/>
          <w:highlight w:val="none"/>
          <w:u w:val="single"/>
          <w:lang w:val="en-US" w:eastAsia="zh-CN"/>
        </w:rPr>
        <w:t xml:space="preserve">           </w:t>
      </w:r>
    </w:p>
    <w:p w14:paraId="132F9404">
      <w:pPr>
        <w:pStyle w:val="13"/>
        <w:spacing w:line="360" w:lineRule="auto"/>
        <w:ind w:firstLine="440" w:firstLineChars="200"/>
        <w:rPr>
          <w:rFonts w:hAnsi="宋体"/>
          <w:color w:val="auto"/>
          <w:highlight w:val="none"/>
          <w:u w:val="single"/>
        </w:rPr>
      </w:pPr>
      <w:r>
        <w:rPr>
          <w:rFonts w:hint="eastAsia" w:hAnsi="宋体"/>
          <w:color w:val="auto"/>
          <w:highlight w:val="none"/>
        </w:rPr>
        <w:t>日期：</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r>
        <w:rPr>
          <w:rFonts w:hint="eastAsia" w:hAnsi="宋体"/>
          <w:color w:val="auto"/>
          <w:highlight w:val="none"/>
        </w:rPr>
        <w:t>日</w:t>
      </w:r>
    </w:p>
    <w:p w14:paraId="7AC31E78">
      <w:pPr>
        <w:pStyle w:val="13"/>
        <w:spacing w:line="360" w:lineRule="auto"/>
        <w:rPr>
          <w:rFonts w:hAnsi="宋体"/>
          <w:color w:val="auto"/>
          <w:highlight w:val="none"/>
        </w:rPr>
      </w:pPr>
    </w:p>
    <w:p w14:paraId="7DD8FA67">
      <w:pPr>
        <w:pStyle w:val="13"/>
        <w:spacing w:line="360" w:lineRule="auto"/>
        <w:rPr>
          <w:rFonts w:hAnsi="宋体"/>
          <w:color w:val="auto"/>
          <w:highlight w:val="none"/>
        </w:rPr>
      </w:pPr>
    </w:p>
    <w:p w14:paraId="5EAAF01E">
      <w:pPr>
        <w:pStyle w:val="13"/>
        <w:spacing w:line="360" w:lineRule="auto"/>
        <w:rPr>
          <w:rFonts w:hint="default" w:hAnsi="宋体" w:eastAsia="宋体"/>
          <w:color w:val="auto"/>
          <w:highlight w:val="none"/>
          <w:u w:val="single"/>
          <w:lang w:val="en-US" w:eastAsia="zh-CN"/>
        </w:rPr>
      </w:pPr>
      <w:r>
        <w:rPr>
          <w:rFonts w:hint="eastAsia" w:hAnsi="宋体"/>
          <w:color w:val="auto"/>
          <w:highlight w:val="none"/>
        </w:rPr>
        <w:t>法定代表人或</w:t>
      </w:r>
      <w:r>
        <w:rPr>
          <w:rFonts w:hint="eastAsia"/>
          <w:color w:val="auto"/>
          <w:highlight w:val="none"/>
        </w:rPr>
        <w:t>授权代表</w:t>
      </w:r>
      <w:r>
        <w:rPr>
          <w:rFonts w:hint="eastAsia" w:hAnsi="宋体"/>
          <w:color w:val="auto"/>
          <w:highlight w:val="none"/>
        </w:rPr>
        <w:t>签字</w:t>
      </w:r>
      <w:r>
        <w:rPr>
          <w:rFonts w:hint="eastAsia" w:hAnsi="宋体"/>
          <w:b/>
          <w:color w:val="auto"/>
          <w:highlight w:val="none"/>
        </w:rPr>
        <w:t>（盖姓名章的无效）</w:t>
      </w:r>
      <w:r>
        <w:rPr>
          <w:rFonts w:hint="eastAsia" w:hAnsi="宋体"/>
          <w:color w:val="auto"/>
          <w:highlight w:val="none"/>
        </w:rPr>
        <w:t>：</w:t>
      </w:r>
      <w:r>
        <w:rPr>
          <w:rFonts w:hint="eastAsia" w:hAnsi="宋体"/>
          <w:color w:val="auto"/>
          <w:highlight w:val="none"/>
          <w:u w:val="single"/>
          <w:lang w:val="en-US" w:eastAsia="zh-CN"/>
        </w:rPr>
        <w:t xml:space="preserve">              </w:t>
      </w:r>
    </w:p>
    <w:p w14:paraId="0FC2D091">
      <w:pPr>
        <w:pStyle w:val="13"/>
        <w:spacing w:line="360" w:lineRule="auto"/>
        <w:rPr>
          <w:rFonts w:hint="default" w:hAnsi="宋体" w:eastAsia="宋体"/>
          <w:color w:val="auto"/>
          <w:highlight w:val="none"/>
          <w:u w:val="single"/>
          <w:lang w:val="en-US" w:eastAsia="zh-CN"/>
        </w:rPr>
      </w:pPr>
      <w:r>
        <w:rPr>
          <w:rFonts w:hint="eastAsia" w:hAnsi="宋体"/>
          <w:color w:val="auto"/>
          <w:highlight w:val="none"/>
        </w:rPr>
        <w:t>供应商名称（盖章）：</w:t>
      </w:r>
      <w:r>
        <w:rPr>
          <w:rFonts w:hint="eastAsia" w:hAnsi="宋体"/>
          <w:color w:val="auto"/>
          <w:highlight w:val="none"/>
          <w:u w:val="single"/>
          <w:lang w:val="en-US" w:eastAsia="zh-CN"/>
        </w:rPr>
        <w:t xml:space="preserve">               </w:t>
      </w:r>
    </w:p>
    <w:p w14:paraId="142722B4">
      <w:pPr>
        <w:pStyle w:val="13"/>
        <w:spacing w:line="360" w:lineRule="auto"/>
        <w:rPr>
          <w:rFonts w:hint="default" w:hAnsi="宋体" w:eastAsia="宋体"/>
          <w:color w:val="auto"/>
          <w:highlight w:val="none"/>
          <w:u w:val="single"/>
          <w:lang w:val="en-US" w:eastAsia="zh-CN"/>
        </w:rPr>
      </w:pPr>
      <w:r>
        <w:rPr>
          <w:rFonts w:hint="eastAsia" w:hAnsi="宋体"/>
          <w:color w:val="auto"/>
          <w:highlight w:val="none"/>
          <w:lang w:eastAsia="zh-CN"/>
        </w:rPr>
        <w:t>日期：</w:t>
      </w:r>
      <w:r>
        <w:rPr>
          <w:rFonts w:hint="eastAsia" w:hAnsi="宋体"/>
          <w:color w:val="auto"/>
          <w:highlight w:val="none"/>
          <w:u w:val="single"/>
          <w:lang w:val="en-US" w:eastAsia="zh-CN"/>
        </w:rPr>
        <w:t xml:space="preserve">       </w:t>
      </w:r>
      <w:r>
        <w:rPr>
          <w:rFonts w:hint="eastAsia" w:hAnsi="宋体"/>
          <w:color w:val="auto"/>
          <w:highlight w:val="none"/>
          <w:u w:val="none"/>
          <w:lang w:val="en-US" w:eastAsia="zh-CN"/>
        </w:rPr>
        <w:t>年</w:t>
      </w:r>
      <w:r>
        <w:rPr>
          <w:rFonts w:hint="eastAsia" w:hAnsi="宋体"/>
          <w:color w:val="auto"/>
          <w:highlight w:val="none"/>
          <w:u w:val="single"/>
          <w:lang w:val="en-US" w:eastAsia="zh-CN"/>
        </w:rPr>
        <w:t xml:space="preserve">     </w:t>
      </w:r>
      <w:r>
        <w:rPr>
          <w:rFonts w:hint="eastAsia" w:hAnsi="宋体"/>
          <w:color w:val="auto"/>
          <w:highlight w:val="none"/>
          <w:u w:val="none"/>
          <w:lang w:val="en-US" w:eastAsia="zh-CN"/>
        </w:rPr>
        <w:t>月</w:t>
      </w:r>
      <w:r>
        <w:rPr>
          <w:rFonts w:hint="eastAsia" w:hAnsi="宋体"/>
          <w:color w:val="auto"/>
          <w:highlight w:val="none"/>
          <w:u w:val="single"/>
          <w:lang w:val="en-US" w:eastAsia="zh-CN"/>
        </w:rPr>
        <w:t xml:space="preserve">     </w:t>
      </w:r>
      <w:r>
        <w:rPr>
          <w:rFonts w:hint="eastAsia" w:hAnsi="宋体"/>
          <w:color w:val="auto"/>
          <w:highlight w:val="none"/>
          <w:u w:val="none"/>
          <w:lang w:val="en-US" w:eastAsia="zh-CN"/>
        </w:rPr>
        <w:t>日</w:t>
      </w:r>
    </w:p>
    <w:p w14:paraId="62E9F806">
      <w:pPr>
        <w:spacing w:line="360" w:lineRule="auto"/>
        <w:rPr>
          <w:color w:val="auto"/>
          <w:szCs w:val="21"/>
          <w:highlight w:val="none"/>
        </w:rPr>
      </w:pPr>
    </w:p>
    <w:p w14:paraId="22684CAC">
      <w:pPr>
        <w:spacing w:line="360" w:lineRule="auto"/>
        <w:rPr>
          <w:color w:val="auto"/>
          <w:szCs w:val="21"/>
          <w:highlight w:val="none"/>
        </w:rPr>
      </w:pPr>
    </w:p>
    <w:p w14:paraId="00DAFE3F">
      <w:pPr>
        <w:spacing w:line="360" w:lineRule="auto"/>
        <w:rPr>
          <w:color w:val="auto"/>
          <w:highlight w:val="none"/>
        </w:rPr>
        <w:sectPr>
          <w:pgSz w:w="11910" w:h="16840"/>
          <w:pgMar w:top="1162" w:right="1162" w:bottom="1162" w:left="1162" w:header="768" w:footer="624" w:gutter="0"/>
          <w:pgNumType w:fmt="decimal"/>
          <w:cols w:space="720" w:num="1"/>
          <w:titlePg/>
        </w:sectPr>
      </w:pPr>
    </w:p>
    <w:p w14:paraId="19F10500">
      <w:pPr>
        <w:spacing w:line="360" w:lineRule="auto"/>
        <w:rPr>
          <w:color w:val="auto"/>
          <w:szCs w:val="21"/>
          <w:highlight w:val="none"/>
        </w:rPr>
      </w:pPr>
      <w:r>
        <w:rPr>
          <w:rFonts w:hint="eastAsia"/>
          <w:color w:val="auto"/>
          <w:szCs w:val="21"/>
          <w:highlight w:val="none"/>
        </w:rPr>
        <w:t xml:space="preserve">附件2             </w:t>
      </w:r>
    </w:p>
    <w:p w14:paraId="28A46AC5">
      <w:pPr>
        <w:spacing w:line="360" w:lineRule="auto"/>
        <w:rPr>
          <w:color w:val="auto"/>
          <w:szCs w:val="21"/>
          <w:highlight w:val="none"/>
        </w:rPr>
      </w:pPr>
    </w:p>
    <w:p w14:paraId="4398F049">
      <w:pPr>
        <w:pStyle w:val="5"/>
        <w:spacing w:line="360" w:lineRule="auto"/>
        <w:rPr>
          <w:color w:val="auto"/>
          <w:highlight w:val="none"/>
        </w:rPr>
      </w:pPr>
      <w:r>
        <w:rPr>
          <w:rFonts w:hint="eastAsia"/>
          <w:color w:val="auto"/>
          <w:highlight w:val="none"/>
        </w:rPr>
        <w:t>报价表</w:t>
      </w:r>
    </w:p>
    <w:p w14:paraId="599783F4">
      <w:pPr>
        <w:spacing w:line="360" w:lineRule="auto"/>
        <w:rPr>
          <w:rFonts w:hint="default" w:eastAsia="宋体"/>
          <w:color w:val="auto"/>
          <w:szCs w:val="21"/>
          <w:highlight w:val="none"/>
          <w:u w:val="single"/>
          <w:lang w:val="en-US" w:eastAsia="zh-CN"/>
        </w:rPr>
      </w:pPr>
      <w:r>
        <w:rPr>
          <w:rFonts w:hint="eastAsia"/>
          <w:color w:val="auto"/>
          <w:szCs w:val="21"/>
          <w:highlight w:val="none"/>
        </w:rPr>
        <w:t>项目名称:</w:t>
      </w:r>
      <w:r>
        <w:rPr>
          <w:rFonts w:hint="eastAsia"/>
          <w:color w:val="auto"/>
          <w:szCs w:val="21"/>
          <w:highlight w:val="none"/>
          <w:u w:val="single"/>
          <w:lang w:val="en-US" w:eastAsia="zh-CN"/>
        </w:rPr>
        <w:t xml:space="preserve">            </w:t>
      </w:r>
    </w:p>
    <w:p w14:paraId="1F70FEA0">
      <w:pPr>
        <w:spacing w:line="360" w:lineRule="auto"/>
        <w:rPr>
          <w:rFonts w:hint="default" w:eastAsia="宋体"/>
          <w:color w:val="auto"/>
          <w:szCs w:val="21"/>
          <w:highlight w:val="none"/>
          <w:u w:val="single"/>
          <w:lang w:val="en-US" w:eastAsia="zh-CN"/>
        </w:rPr>
      </w:pPr>
      <w:r>
        <w:rPr>
          <w:rFonts w:hint="eastAsia"/>
          <w:color w:val="auto"/>
          <w:szCs w:val="21"/>
          <w:highlight w:val="none"/>
        </w:rPr>
        <w:t>项目编号:</w:t>
      </w:r>
      <w:r>
        <w:rPr>
          <w:rFonts w:hint="eastAsia"/>
          <w:color w:val="auto"/>
          <w:szCs w:val="21"/>
          <w:highlight w:val="none"/>
          <w:u w:val="single"/>
          <w:lang w:val="en-US" w:eastAsia="zh-CN"/>
        </w:rPr>
        <w:t xml:space="preserve">            </w:t>
      </w:r>
    </w:p>
    <w:p w14:paraId="48787E99">
      <w:pPr>
        <w:spacing w:line="360" w:lineRule="auto"/>
        <w:rPr>
          <w:color w:val="auto"/>
          <w:szCs w:val="21"/>
          <w:highlight w:val="none"/>
        </w:rPr>
      </w:pPr>
    </w:p>
    <w:tbl>
      <w:tblPr>
        <w:tblStyle w:val="25"/>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02"/>
        <w:gridCol w:w="866"/>
        <w:gridCol w:w="866"/>
        <w:gridCol w:w="2703"/>
        <w:gridCol w:w="2016"/>
      </w:tblGrid>
      <w:tr w14:paraId="45AD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532" w:type="dxa"/>
            <w:vAlign w:val="center"/>
          </w:tcPr>
          <w:p w14:paraId="29317563">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序号</w:t>
            </w:r>
          </w:p>
        </w:tc>
        <w:tc>
          <w:tcPr>
            <w:tcW w:w="2202" w:type="dxa"/>
            <w:vAlign w:val="center"/>
          </w:tcPr>
          <w:p w14:paraId="5F1499B9">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服务内容</w:t>
            </w:r>
          </w:p>
        </w:tc>
        <w:tc>
          <w:tcPr>
            <w:tcW w:w="866" w:type="dxa"/>
            <w:vAlign w:val="center"/>
          </w:tcPr>
          <w:p w14:paraId="030DB1A7">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数  量</w:t>
            </w:r>
          </w:p>
        </w:tc>
        <w:tc>
          <w:tcPr>
            <w:tcW w:w="866" w:type="dxa"/>
            <w:vAlign w:val="center"/>
          </w:tcPr>
          <w:p w14:paraId="10CB819F">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单位</w:t>
            </w:r>
          </w:p>
        </w:tc>
        <w:tc>
          <w:tcPr>
            <w:tcW w:w="2703" w:type="dxa"/>
            <w:vAlign w:val="center"/>
          </w:tcPr>
          <w:p w14:paraId="56D42A44">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b w:val="0"/>
                <w:bCs w:val="0"/>
                <w:color w:val="auto"/>
                <w:sz w:val="20"/>
                <w:szCs w:val="21"/>
                <w:highlight w:val="none"/>
                <w:lang w:val="en-US" w:eastAsia="zh-CN"/>
              </w:rPr>
              <w:t>报价</w:t>
            </w:r>
            <w:r>
              <w:rPr>
                <w:rFonts w:hint="eastAsia" w:ascii="Times New Roman" w:hAnsi="Times New Roman" w:eastAsia="Times New Roman" w:cs="Times New Roman"/>
                <w:b w:val="0"/>
                <w:bCs w:val="0"/>
                <w:color w:val="auto"/>
                <w:sz w:val="20"/>
                <w:szCs w:val="21"/>
                <w:highlight w:val="none"/>
                <w:lang w:eastAsia="zh-CN"/>
              </w:rPr>
              <w:t>（</w:t>
            </w:r>
            <w:r>
              <w:rPr>
                <w:rFonts w:hint="eastAsia" w:ascii="Times New Roman" w:hAnsi="Times New Roman" w:eastAsia="Times New Roman" w:cs="Times New Roman"/>
                <w:b w:val="0"/>
                <w:bCs w:val="0"/>
                <w:color w:val="auto"/>
                <w:sz w:val="20"/>
                <w:szCs w:val="21"/>
                <w:highlight w:val="none"/>
                <w:lang w:val="en-US" w:eastAsia="zh-CN"/>
              </w:rPr>
              <w:t>元</w:t>
            </w:r>
            <w:r>
              <w:rPr>
                <w:rFonts w:hint="eastAsia" w:ascii="Times New Roman" w:hAnsi="Times New Roman" w:eastAsia="Times New Roman" w:cs="Times New Roman"/>
                <w:b w:val="0"/>
                <w:bCs w:val="0"/>
                <w:color w:val="auto"/>
                <w:sz w:val="20"/>
                <w:szCs w:val="21"/>
                <w:highlight w:val="none"/>
                <w:lang w:eastAsia="zh-CN"/>
              </w:rPr>
              <w:t>）</w:t>
            </w:r>
          </w:p>
        </w:tc>
        <w:tc>
          <w:tcPr>
            <w:tcW w:w="2016" w:type="dxa"/>
            <w:vAlign w:val="center"/>
          </w:tcPr>
          <w:p w14:paraId="300F9F5B">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bCs/>
                <w:color w:val="auto"/>
                <w:sz w:val="20"/>
                <w:szCs w:val="20"/>
                <w:highlight w:val="none"/>
              </w:rPr>
              <w:t>说      明</w:t>
            </w:r>
          </w:p>
        </w:tc>
      </w:tr>
      <w:tr w14:paraId="337B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532" w:type="dxa"/>
            <w:vAlign w:val="center"/>
          </w:tcPr>
          <w:p w14:paraId="0C6AE982">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1</w:t>
            </w:r>
          </w:p>
        </w:tc>
        <w:tc>
          <w:tcPr>
            <w:tcW w:w="2202" w:type="dxa"/>
            <w:vAlign w:val="center"/>
          </w:tcPr>
          <w:p w14:paraId="662ACF32">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866" w:type="dxa"/>
            <w:vAlign w:val="center"/>
          </w:tcPr>
          <w:p w14:paraId="5586E389">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866" w:type="dxa"/>
            <w:vAlign w:val="center"/>
          </w:tcPr>
          <w:p w14:paraId="5A0FC0B3">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703" w:type="dxa"/>
            <w:vAlign w:val="center"/>
          </w:tcPr>
          <w:p w14:paraId="131D16E9">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016" w:type="dxa"/>
            <w:vAlign w:val="top"/>
          </w:tcPr>
          <w:p w14:paraId="693734FD">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0C6B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466" w:type="dxa"/>
            <w:gridSpan w:val="4"/>
            <w:vAlign w:val="center"/>
          </w:tcPr>
          <w:p w14:paraId="1021762D">
            <w:pPr>
              <w:snapToGrid w:val="0"/>
              <w:spacing w:before="0" w:beforeAutospacing="0" w:after="0" w:afterAutospacing="0" w:line="360" w:lineRule="auto"/>
              <w:ind w:left="0" w:right="0"/>
              <w:jc w:val="center"/>
              <w:rPr>
                <w:rFonts w:hint="default" w:ascii="Times New Roman" w:hAnsi="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合计</w:t>
            </w:r>
          </w:p>
        </w:tc>
        <w:tc>
          <w:tcPr>
            <w:tcW w:w="2703" w:type="dxa"/>
            <w:vAlign w:val="center"/>
          </w:tcPr>
          <w:p w14:paraId="02F40238">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016" w:type="dxa"/>
            <w:vAlign w:val="top"/>
          </w:tcPr>
          <w:p w14:paraId="379BFCE7">
            <w:pPr>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bl>
    <w:p w14:paraId="137B5647">
      <w:pPr>
        <w:spacing w:line="360" w:lineRule="auto"/>
        <w:rPr>
          <w:color w:val="auto"/>
          <w:szCs w:val="21"/>
          <w:highlight w:val="none"/>
        </w:rPr>
      </w:pPr>
    </w:p>
    <w:p w14:paraId="34298D59">
      <w:pPr>
        <w:spacing w:line="360" w:lineRule="auto"/>
        <w:rPr>
          <w:color w:val="auto"/>
          <w:highlight w:val="none"/>
        </w:rPr>
      </w:pPr>
    </w:p>
    <w:p w14:paraId="190F24D4">
      <w:pPr>
        <w:pStyle w:val="13"/>
        <w:spacing w:line="360" w:lineRule="auto"/>
        <w:rPr>
          <w:rFonts w:hint="default" w:hAnsi="宋体" w:eastAsia="宋体"/>
          <w:color w:val="auto"/>
          <w:highlight w:val="none"/>
          <w:u w:val="single"/>
          <w:lang w:val="en-US" w:eastAsia="zh-CN"/>
        </w:rPr>
      </w:pPr>
      <w:r>
        <w:rPr>
          <w:rFonts w:hint="eastAsia" w:hAnsi="宋体"/>
          <w:color w:val="auto"/>
          <w:highlight w:val="none"/>
        </w:rPr>
        <w:t>法定代表人或授权代表签字</w:t>
      </w:r>
      <w:r>
        <w:rPr>
          <w:rFonts w:hint="eastAsia" w:hAnsi="宋体"/>
          <w:b/>
          <w:color w:val="auto"/>
          <w:highlight w:val="none"/>
        </w:rPr>
        <w:t>（盖姓名章的无效）</w:t>
      </w:r>
      <w:r>
        <w:rPr>
          <w:rFonts w:hint="eastAsia" w:hAnsi="宋体"/>
          <w:color w:val="auto"/>
          <w:highlight w:val="none"/>
        </w:rPr>
        <w:t>:</w:t>
      </w:r>
      <w:r>
        <w:rPr>
          <w:rFonts w:hint="eastAsia" w:hAnsi="宋体"/>
          <w:color w:val="auto"/>
          <w:highlight w:val="none"/>
          <w:u w:val="single"/>
          <w:lang w:val="en-US" w:eastAsia="zh-CN"/>
        </w:rPr>
        <w:t xml:space="preserve">            </w:t>
      </w:r>
    </w:p>
    <w:p w14:paraId="1FE3E00F">
      <w:pPr>
        <w:pStyle w:val="13"/>
        <w:spacing w:line="360" w:lineRule="auto"/>
        <w:rPr>
          <w:rFonts w:hint="default" w:hAnsi="宋体" w:eastAsia="宋体"/>
          <w:color w:val="auto"/>
          <w:highlight w:val="none"/>
          <w:u w:val="single"/>
          <w:lang w:val="en-US" w:eastAsia="zh-CN"/>
        </w:rPr>
      </w:pPr>
      <w:r>
        <w:rPr>
          <w:rFonts w:hint="eastAsia" w:hAnsi="宋体"/>
          <w:color w:val="auto"/>
          <w:highlight w:val="none"/>
        </w:rPr>
        <w:t>供应商名称（盖章）：</w:t>
      </w:r>
      <w:r>
        <w:rPr>
          <w:rFonts w:hint="eastAsia" w:hAnsi="宋体"/>
          <w:color w:val="auto"/>
          <w:highlight w:val="none"/>
          <w:u w:val="single"/>
          <w:lang w:val="en-US" w:eastAsia="zh-CN"/>
        </w:rPr>
        <w:t xml:space="preserve">                     </w:t>
      </w:r>
    </w:p>
    <w:p w14:paraId="6200CA72">
      <w:pPr>
        <w:spacing w:line="360" w:lineRule="auto"/>
        <w:rPr>
          <w:color w:val="auto"/>
          <w:szCs w:val="21"/>
          <w:highlight w:val="none"/>
        </w:rPr>
      </w:pPr>
      <w:r>
        <w:rPr>
          <w:rFonts w:hint="eastAsia"/>
          <w:color w:val="auto"/>
          <w:highlight w:val="none"/>
        </w:rPr>
        <w:t>报价时间：</w:t>
      </w:r>
      <w:r>
        <w:rPr>
          <w:rFonts w:hint="eastAsia"/>
          <w:color w:val="auto"/>
          <w:highlight w:val="none"/>
          <w:lang w:val="en-US"/>
        </w:rPr>
        <w:t xml:space="preserve"> </w:t>
      </w:r>
      <w:r>
        <w:rPr>
          <w:rFonts w:hint="eastAsia"/>
          <w:color w:val="auto"/>
          <w:highlight w:val="none"/>
          <w:u w:val="single"/>
          <w:lang w:val="en-US" w:eastAsia="zh-CN"/>
        </w:rPr>
        <w:t xml:space="preserve">          </w:t>
      </w:r>
      <w:r>
        <w:rPr>
          <w:rFonts w:hint="eastAsia"/>
          <w:color w:val="auto"/>
          <w:highlight w:val="none"/>
        </w:rPr>
        <w:t>年</w:t>
      </w:r>
      <w:r>
        <w:rPr>
          <w:rFonts w:hint="eastAsia"/>
          <w:color w:val="auto"/>
          <w:highlight w:val="none"/>
          <w:lang w:val="en-US"/>
        </w:rPr>
        <w:t xml:space="preserve"> </w:t>
      </w:r>
      <w:r>
        <w:rPr>
          <w:rFonts w:hint="eastAsia"/>
          <w:color w:val="auto"/>
          <w:highlight w:val="none"/>
          <w:u w:val="single"/>
          <w:lang w:val="en-US" w:eastAsia="zh-CN"/>
        </w:rPr>
        <w:t xml:space="preserve">     </w:t>
      </w:r>
      <w:r>
        <w:rPr>
          <w:rFonts w:hint="eastAsia"/>
          <w:color w:val="auto"/>
          <w:highlight w:val="none"/>
        </w:rPr>
        <w:t>月</w:t>
      </w:r>
      <w:r>
        <w:rPr>
          <w:rFonts w:hint="eastAsia"/>
          <w:color w:val="auto"/>
          <w:highlight w:val="none"/>
          <w:lang w:val="en-US"/>
        </w:rPr>
        <w:t xml:space="preserve"> </w:t>
      </w:r>
      <w:r>
        <w:rPr>
          <w:rFonts w:hint="eastAsia"/>
          <w:color w:val="auto"/>
          <w:highlight w:val="none"/>
          <w:u w:val="single"/>
          <w:lang w:val="en-US" w:eastAsia="zh-CN"/>
        </w:rPr>
        <w:t xml:space="preserve">    </w:t>
      </w:r>
      <w:r>
        <w:rPr>
          <w:rFonts w:hint="eastAsia"/>
          <w:color w:val="auto"/>
          <w:highlight w:val="none"/>
        </w:rPr>
        <w:t>日</w:t>
      </w:r>
    </w:p>
    <w:p w14:paraId="2322E980">
      <w:pPr>
        <w:spacing w:line="360" w:lineRule="auto"/>
        <w:rPr>
          <w:color w:val="auto"/>
          <w:szCs w:val="21"/>
          <w:highlight w:val="none"/>
        </w:rPr>
      </w:pPr>
    </w:p>
    <w:p w14:paraId="1E954A12">
      <w:pPr>
        <w:adjustRightInd w:val="0"/>
        <w:snapToGrid w:val="0"/>
        <w:spacing w:line="360" w:lineRule="auto"/>
        <w:ind w:left="-92" w:leftChars="-42"/>
        <w:rPr>
          <w:b/>
          <w:snapToGrid w:val="0"/>
          <w:color w:val="auto"/>
          <w:szCs w:val="21"/>
          <w:highlight w:val="none"/>
        </w:rPr>
      </w:pPr>
      <w:r>
        <w:rPr>
          <w:rFonts w:hint="eastAsia"/>
          <w:b/>
          <w:color w:val="auto"/>
          <w:szCs w:val="21"/>
          <w:highlight w:val="none"/>
        </w:rPr>
        <w:t xml:space="preserve">   报价要求</w:t>
      </w:r>
      <w:r>
        <w:rPr>
          <w:rFonts w:hint="eastAsia"/>
          <w:b/>
          <w:snapToGrid w:val="0"/>
          <w:color w:val="auto"/>
          <w:szCs w:val="21"/>
          <w:highlight w:val="none"/>
        </w:rPr>
        <w:t>：</w:t>
      </w:r>
    </w:p>
    <w:p w14:paraId="42B9A2E3">
      <w:pPr>
        <w:adjustRightInd w:val="0"/>
        <w:snapToGrid w:val="0"/>
        <w:spacing w:line="360" w:lineRule="auto"/>
        <w:ind w:left="-92" w:leftChars="-42"/>
        <w:rPr>
          <w:b/>
          <w:snapToGrid w:val="0"/>
          <w:color w:val="auto"/>
          <w:szCs w:val="21"/>
          <w:highlight w:val="none"/>
        </w:rPr>
      </w:pPr>
      <w:r>
        <w:rPr>
          <w:rFonts w:hint="eastAsia"/>
          <w:b/>
          <w:snapToGrid w:val="0"/>
          <w:color w:val="auto"/>
          <w:szCs w:val="21"/>
          <w:highlight w:val="none"/>
        </w:rPr>
        <w:t xml:space="preserve">       1、磋商供应商报价不得超过控制价，高于此要求报价无效。</w:t>
      </w:r>
    </w:p>
    <w:p w14:paraId="305FFC85">
      <w:pPr>
        <w:adjustRightInd w:val="0"/>
        <w:snapToGrid w:val="0"/>
        <w:spacing w:line="360" w:lineRule="auto"/>
        <w:rPr>
          <w:color w:val="auto"/>
          <w:szCs w:val="21"/>
          <w:highlight w:val="none"/>
        </w:rPr>
      </w:pPr>
    </w:p>
    <w:p w14:paraId="7B52FC35">
      <w:pPr>
        <w:adjustRightInd w:val="0"/>
        <w:snapToGrid w:val="0"/>
        <w:spacing w:line="360" w:lineRule="auto"/>
        <w:rPr>
          <w:color w:val="auto"/>
          <w:szCs w:val="21"/>
          <w:highlight w:val="none"/>
        </w:rPr>
      </w:pPr>
    </w:p>
    <w:p w14:paraId="4D622126">
      <w:pPr>
        <w:adjustRightInd w:val="0"/>
        <w:snapToGrid w:val="0"/>
        <w:spacing w:line="360" w:lineRule="auto"/>
        <w:rPr>
          <w:color w:val="auto"/>
          <w:szCs w:val="21"/>
          <w:highlight w:val="none"/>
        </w:rPr>
      </w:pPr>
    </w:p>
    <w:p w14:paraId="1F705C37">
      <w:pPr>
        <w:adjustRightInd w:val="0"/>
        <w:snapToGrid w:val="0"/>
        <w:spacing w:line="360" w:lineRule="auto"/>
        <w:rPr>
          <w:color w:val="auto"/>
          <w:szCs w:val="21"/>
          <w:highlight w:val="none"/>
        </w:rPr>
      </w:pPr>
    </w:p>
    <w:p w14:paraId="31160C8F">
      <w:pPr>
        <w:adjustRightInd w:val="0"/>
        <w:snapToGrid w:val="0"/>
        <w:spacing w:line="360" w:lineRule="auto"/>
        <w:rPr>
          <w:color w:val="auto"/>
          <w:szCs w:val="21"/>
          <w:highlight w:val="none"/>
        </w:rPr>
      </w:pPr>
    </w:p>
    <w:p w14:paraId="6A2C6C11">
      <w:pPr>
        <w:adjustRightInd w:val="0"/>
        <w:snapToGrid w:val="0"/>
        <w:spacing w:line="360" w:lineRule="auto"/>
        <w:rPr>
          <w:color w:val="auto"/>
          <w:szCs w:val="21"/>
          <w:highlight w:val="none"/>
        </w:rPr>
      </w:pPr>
    </w:p>
    <w:p w14:paraId="3A99A29A">
      <w:pPr>
        <w:adjustRightInd w:val="0"/>
        <w:snapToGrid w:val="0"/>
        <w:spacing w:line="360" w:lineRule="auto"/>
        <w:rPr>
          <w:color w:val="auto"/>
          <w:szCs w:val="21"/>
          <w:highlight w:val="none"/>
        </w:rPr>
      </w:pPr>
    </w:p>
    <w:p w14:paraId="2AA22E10">
      <w:pPr>
        <w:adjustRightInd w:val="0"/>
        <w:snapToGrid w:val="0"/>
        <w:spacing w:line="360" w:lineRule="auto"/>
        <w:rPr>
          <w:color w:val="auto"/>
          <w:szCs w:val="21"/>
          <w:highlight w:val="none"/>
        </w:rPr>
      </w:pPr>
    </w:p>
    <w:p w14:paraId="78A7029E">
      <w:pPr>
        <w:adjustRightInd w:val="0"/>
        <w:snapToGrid w:val="0"/>
        <w:spacing w:line="360" w:lineRule="auto"/>
        <w:rPr>
          <w:color w:val="auto"/>
          <w:szCs w:val="21"/>
          <w:highlight w:val="none"/>
        </w:rPr>
      </w:pPr>
    </w:p>
    <w:p w14:paraId="226C98C9">
      <w:pPr>
        <w:adjustRightInd w:val="0"/>
        <w:snapToGrid w:val="0"/>
        <w:spacing w:line="360" w:lineRule="auto"/>
        <w:rPr>
          <w:color w:val="auto"/>
          <w:szCs w:val="21"/>
          <w:highlight w:val="none"/>
        </w:rPr>
      </w:pPr>
    </w:p>
    <w:p w14:paraId="45FFA37B">
      <w:pPr>
        <w:spacing w:line="360" w:lineRule="auto"/>
        <w:rPr>
          <w:color w:val="auto"/>
          <w:szCs w:val="21"/>
          <w:highlight w:val="none"/>
        </w:rPr>
      </w:pPr>
      <w:r>
        <w:rPr>
          <w:rFonts w:hint="eastAsia"/>
          <w:color w:val="auto"/>
          <w:szCs w:val="21"/>
          <w:highlight w:val="none"/>
        </w:rPr>
        <w:br w:type="page"/>
      </w:r>
    </w:p>
    <w:p w14:paraId="27DD7CE9">
      <w:pPr>
        <w:spacing w:line="360" w:lineRule="auto"/>
        <w:rPr>
          <w:color w:val="auto"/>
          <w:szCs w:val="21"/>
          <w:highlight w:val="none"/>
        </w:rPr>
      </w:pPr>
      <w:r>
        <w:rPr>
          <w:rFonts w:hint="eastAsia"/>
          <w:color w:val="auto"/>
          <w:szCs w:val="21"/>
          <w:highlight w:val="none"/>
        </w:rPr>
        <w:t>附件3</w:t>
      </w:r>
    </w:p>
    <w:p w14:paraId="0912A19B">
      <w:pPr>
        <w:pStyle w:val="5"/>
        <w:spacing w:line="360" w:lineRule="auto"/>
        <w:rPr>
          <w:color w:val="auto"/>
          <w:highlight w:val="none"/>
        </w:rPr>
      </w:pPr>
      <w:r>
        <w:rPr>
          <w:rFonts w:hint="eastAsia"/>
          <w:color w:val="auto"/>
          <w:highlight w:val="none"/>
        </w:rPr>
        <w:t>法定代表人授权委托书</w:t>
      </w:r>
    </w:p>
    <w:p w14:paraId="6CA1863E">
      <w:pPr>
        <w:adjustRightInd w:val="0"/>
        <w:snapToGrid w:val="0"/>
        <w:spacing w:line="360" w:lineRule="auto"/>
        <w:rPr>
          <w:color w:val="auto"/>
          <w:szCs w:val="21"/>
          <w:highlight w:val="none"/>
        </w:rPr>
      </w:pPr>
    </w:p>
    <w:p w14:paraId="044C640A">
      <w:pPr>
        <w:spacing w:line="360" w:lineRule="auto"/>
        <w:rPr>
          <w:color w:val="auto"/>
          <w:szCs w:val="21"/>
          <w:highlight w:val="none"/>
        </w:rPr>
      </w:pPr>
      <w:r>
        <w:rPr>
          <w:rFonts w:hint="eastAsia"/>
          <w:color w:val="auto"/>
          <w:szCs w:val="21"/>
          <w:highlight w:val="none"/>
          <w:u w:val="single"/>
        </w:rPr>
        <w:t>广西瑞真工程造价咨询有限责任公司</w:t>
      </w:r>
      <w:r>
        <w:rPr>
          <w:rFonts w:hint="eastAsia"/>
          <w:color w:val="auto"/>
          <w:szCs w:val="21"/>
          <w:highlight w:val="none"/>
        </w:rPr>
        <w:t>：</w:t>
      </w:r>
    </w:p>
    <w:p w14:paraId="7F781E75">
      <w:pPr>
        <w:spacing w:line="360" w:lineRule="auto"/>
        <w:ind w:firstLine="440" w:firstLineChars="200"/>
        <w:rPr>
          <w:color w:val="auto"/>
          <w:szCs w:val="21"/>
          <w:highlight w:val="none"/>
        </w:rPr>
      </w:pPr>
      <w:r>
        <w:rPr>
          <w:rFonts w:hint="eastAsia"/>
          <w:color w:val="auto"/>
          <w:szCs w:val="21"/>
          <w:highlight w:val="none"/>
        </w:rPr>
        <w:t>兹授权</w:t>
      </w:r>
      <w:r>
        <w:rPr>
          <w:rFonts w:hint="eastAsia"/>
          <w:color w:val="auto"/>
          <w:szCs w:val="21"/>
          <w:highlight w:val="none"/>
          <w:u w:val="single"/>
          <w:lang w:val="en-US" w:eastAsia="zh-CN"/>
        </w:rPr>
        <w:t xml:space="preserve">       </w:t>
      </w:r>
      <w:r>
        <w:rPr>
          <w:rFonts w:hint="eastAsia"/>
          <w:color w:val="auto"/>
          <w:szCs w:val="21"/>
          <w:highlight w:val="none"/>
        </w:rPr>
        <w:t>同志为我公司参加贵单位组织的</w:t>
      </w:r>
      <w:r>
        <w:rPr>
          <w:rFonts w:hint="eastAsia"/>
          <w:color w:val="auto"/>
          <w:szCs w:val="21"/>
          <w:highlight w:val="none"/>
          <w:u w:val="single"/>
        </w:rPr>
        <w:t>（项目名称、项目编号）竞争性磋商</w:t>
      </w:r>
      <w:r>
        <w:rPr>
          <w:rFonts w:hint="eastAsia"/>
          <w:color w:val="auto"/>
          <w:szCs w:val="21"/>
          <w:highlight w:val="none"/>
        </w:rPr>
        <w:t>采购活动的委托代理人，全权代表我公司处理在该项目活动中的一切事宜。代理期限从</w:t>
      </w: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日起至</w:t>
      </w: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 xml:space="preserve">日止。 </w:t>
      </w:r>
    </w:p>
    <w:p w14:paraId="1A97B7F8">
      <w:pPr>
        <w:spacing w:line="360" w:lineRule="auto"/>
        <w:rPr>
          <w:color w:val="auto"/>
          <w:szCs w:val="21"/>
          <w:highlight w:val="none"/>
        </w:rPr>
      </w:pPr>
    </w:p>
    <w:p w14:paraId="12227AA5">
      <w:pPr>
        <w:spacing w:line="360" w:lineRule="auto"/>
        <w:rPr>
          <w:rFonts w:hint="default" w:eastAsia="宋体"/>
          <w:color w:val="auto"/>
          <w:szCs w:val="21"/>
          <w:highlight w:val="none"/>
          <w:u w:val="single"/>
          <w:lang w:val="en-US" w:eastAsia="zh-CN"/>
        </w:rPr>
      </w:pPr>
      <w:r>
        <w:rPr>
          <w:rFonts w:hint="eastAsia"/>
          <w:color w:val="auto"/>
          <w:szCs w:val="21"/>
          <w:highlight w:val="none"/>
        </w:rPr>
        <w:t>供应商（盖章）：</w:t>
      </w:r>
      <w:r>
        <w:rPr>
          <w:rFonts w:hint="eastAsia"/>
          <w:color w:val="auto"/>
          <w:szCs w:val="21"/>
          <w:highlight w:val="none"/>
          <w:u w:val="single"/>
          <w:lang w:val="en-US" w:eastAsia="zh-CN"/>
        </w:rPr>
        <w:t xml:space="preserve">             </w:t>
      </w:r>
    </w:p>
    <w:p w14:paraId="5142B999">
      <w:pPr>
        <w:spacing w:line="360" w:lineRule="auto"/>
        <w:rPr>
          <w:rFonts w:hint="default" w:eastAsia="宋体"/>
          <w:color w:val="auto"/>
          <w:szCs w:val="21"/>
          <w:highlight w:val="none"/>
          <w:u w:val="single"/>
          <w:lang w:val="en-US" w:eastAsia="zh-CN"/>
        </w:rPr>
      </w:pPr>
      <w:r>
        <w:rPr>
          <w:rFonts w:hint="eastAsia"/>
          <w:color w:val="auto"/>
          <w:szCs w:val="21"/>
          <w:highlight w:val="none"/>
        </w:rPr>
        <w:t>法定代表人签字或盖章：</w:t>
      </w:r>
      <w:r>
        <w:rPr>
          <w:rFonts w:hint="eastAsia"/>
          <w:color w:val="auto"/>
          <w:szCs w:val="21"/>
          <w:highlight w:val="none"/>
          <w:u w:val="single"/>
          <w:lang w:val="en-US" w:eastAsia="zh-CN"/>
        </w:rPr>
        <w:t xml:space="preserve">            </w:t>
      </w:r>
    </w:p>
    <w:p w14:paraId="34C5BD51">
      <w:pPr>
        <w:spacing w:line="360" w:lineRule="auto"/>
        <w:rPr>
          <w:color w:val="auto"/>
          <w:szCs w:val="21"/>
          <w:highlight w:val="none"/>
        </w:rPr>
      </w:pPr>
      <w:r>
        <w:rPr>
          <w:rFonts w:hint="eastAsia"/>
          <w:color w:val="auto"/>
          <w:szCs w:val="21"/>
          <w:highlight w:val="none"/>
        </w:rPr>
        <w:t>签发日期：</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日</w:t>
      </w:r>
    </w:p>
    <w:p w14:paraId="678ACE29">
      <w:pPr>
        <w:spacing w:line="360" w:lineRule="auto"/>
        <w:rPr>
          <w:color w:val="auto"/>
          <w:szCs w:val="21"/>
          <w:highlight w:val="none"/>
        </w:rPr>
      </w:pPr>
    </w:p>
    <w:p w14:paraId="06DE1262">
      <w:pPr>
        <w:spacing w:line="360" w:lineRule="auto"/>
        <w:rPr>
          <w:rFonts w:hint="default" w:eastAsia="宋体"/>
          <w:color w:val="auto"/>
          <w:szCs w:val="21"/>
          <w:highlight w:val="none"/>
          <w:u w:val="single"/>
          <w:lang w:val="en-US" w:eastAsia="zh-CN"/>
        </w:rPr>
      </w:pPr>
      <w:r>
        <w:rPr>
          <w:rFonts w:hint="eastAsia"/>
          <w:color w:val="auto"/>
          <w:szCs w:val="21"/>
          <w:highlight w:val="none"/>
        </w:rPr>
        <w:t>附：委托代理人工作单位</w:t>
      </w:r>
      <w:r>
        <w:rPr>
          <w:rFonts w:hint="eastAsia"/>
          <w:color w:val="auto"/>
          <w:szCs w:val="21"/>
          <w:highlight w:val="none"/>
          <w:lang w:val="en-US" w:eastAsia="zh-CN"/>
        </w:rPr>
        <w:t>:</w:t>
      </w:r>
      <w:r>
        <w:rPr>
          <w:rFonts w:hint="eastAsia"/>
          <w:color w:val="auto"/>
          <w:szCs w:val="21"/>
          <w:highlight w:val="none"/>
          <w:u w:val="single"/>
          <w:lang w:val="en-US" w:eastAsia="zh-CN"/>
        </w:rPr>
        <w:t xml:space="preserve">            </w:t>
      </w:r>
    </w:p>
    <w:p w14:paraId="4E6C2140">
      <w:pPr>
        <w:spacing w:line="360" w:lineRule="auto"/>
        <w:rPr>
          <w:rFonts w:hint="default" w:eastAsia="宋体"/>
          <w:color w:val="auto"/>
          <w:szCs w:val="21"/>
          <w:highlight w:val="none"/>
          <w:u w:val="single"/>
          <w:lang w:val="en-US" w:eastAsia="zh-CN"/>
        </w:rPr>
      </w:pPr>
      <w:r>
        <w:rPr>
          <w:rFonts w:hint="eastAsia"/>
          <w:color w:val="auto"/>
          <w:szCs w:val="21"/>
          <w:highlight w:val="none"/>
        </w:rPr>
        <w:t>职务：</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 xml:space="preserve"> 性别：</w:t>
      </w:r>
      <w:r>
        <w:rPr>
          <w:rFonts w:hint="eastAsia"/>
          <w:color w:val="auto"/>
          <w:szCs w:val="21"/>
          <w:highlight w:val="none"/>
          <w:u w:val="single"/>
          <w:lang w:val="en-US" w:eastAsia="zh-CN"/>
        </w:rPr>
        <w:t xml:space="preserve">             </w:t>
      </w:r>
    </w:p>
    <w:p w14:paraId="31E9330C">
      <w:pPr>
        <w:adjustRightInd w:val="0"/>
        <w:snapToGrid w:val="0"/>
        <w:spacing w:line="360" w:lineRule="auto"/>
        <w:rPr>
          <w:rFonts w:hint="default" w:eastAsia="宋体"/>
          <w:color w:val="auto"/>
          <w:szCs w:val="21"/>
          <w:highlight w:val="none"/>
          <w:u w:val="single"/>
          <w:lang w:val="en-US" w:eastAsia="zh-CN"/>
        </w:rPr>
      </w:pPr>
      <w:r>
        <w:rPr>
          <w:rFonts w:hint="eastAsia"/>
          <w:color w:val="auto"/>
          <w:szCs w:val="21"/>
          <w:highlight w:val="none"/>
        </w:rPr>
        <w:t>身份证号码：</w:t>
      </w:r>
      <w:r>
        <w:rPr>
          <w:rFonts w:hint="eastAsia"/>
          <w:color w:val="auto"/>
          <w:szCs w:val="21"/>
          <w:highlight w:val="none"/>
          <w:u w:val="single"/>
          <w:lang w:val="en-US" w:eastAsia="zh-CN"/>
        </w:rPr>
        <w:t xml:space="preserve">                        </w:t>
      </w:r>
    </w:p>
    <w:tbl>
      <w:tblPr>
        <w:tblStyle w:val="25"/>
        <w:tblW w:w="8556"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6"/>
      </w:tblGrid>
      <w:tr w14:paraId="0BFC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556" w:type="dxa"/>
            <w:vAlign w:val="top"/>
          </w:tcPr>
          <w:p w14:paraId="1EC7E236">
            <w:pPr>
              <w:spacing w:before="0" w:beforeAutospacing="0" w:after="0" w:afterAutospacing="0" w:line="360" w:lineRule="auto"/>
              <w:ind w:left="0" w:right="0"/>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粘贴委托代理人的正面及反面身份证复印件</w:t>
            </w:r>
          </w:p>
        </w:tc>
      </w:tr>
    </w:tbl>
    <w:p w14:paraId="48C15242">
      <w:pPr>
        <w:spacing w:line="360" w:lineRule="auto"/>
        <w:ind w:left="480"/>
        <w:rPr>
          <w:color w:val="auto"/>
          <w:szCs w:val="21"/>
          <w:highlight w:val="none"/>
        </w:rPr>
      </w:pPr>
    </w:p>
    <w:p w14:paraId="573FD15A">
      <w:pPr>
        <w:adjustRightInd w:val="0"/>
        <w:snapToGrid w:val="0"/>
        <w:spacing w:line="360" w:lineRule="auto"/>
        <w:jc w:val="center"/>
        <w:rPr>
          <w:rFonts w:ascii="黑体" w:eastAsia="黑体"/>
          <w:b/>
          <w:color w:val="auto"/>
          <w:sz w:val="32"/>
          <w:szCs w:val="32"/>
          <w:highlight w:val="none"/>
        </w:rPr>
      </w:pPr>
    </w:p>
    <w:p w14:paraId="3F42AA24">
      <w:pPr>
        <w:adjustRightInd w:val="0"/>
        <w:snapToGrid w:val="0"/>
        <w:spacing w:line="360" w:lineRule="auto"/>
        <w:jc w:val="center"/>
        <w:rPr>
          <w:rFonts w:ascii="黑体" w:eastAsia="黑体"/>
          <w:b/>
          <w:color w:val="auto"/>
          <w:sz w:val="32"/>
          <w:szCs w:val="32"/>
          <w:highlight w:val="none"/>
        </w:rPr>
      </w:pPr>
    </w:p>
    <w:p w14:paraId="404AFE04">
      <w:pPr>
        <w:adjustRightInd w:val="0"/>
        <w:snapToGrid w:val="0"/>
        <w:spacing w:line="360" w:lineRule="auto"/>
        <w:jc w:val="center"/>
        <w:rPr>
          <w:rFonts w:ascii="黑体" w:eastAsia="黑体"/>
          <w:b/>
          <w:color w:val="auto"/>
          <w:sz w:val="32"/>
          <w:szCs w:val="32"/>
          <w:highlight w:val="none"/>
        </w:rPr>
      </w:pPr>
    </w:p>
    <w:p w14:paraId="488FF46F">
      <w:pPr>
        <w:adjustRightInd w:val="0"/>
        <w:snapToGrid w:val="0"/>
        <w:spacing w:line="360" w:lineRule="auto"/>
        <w:jc w:val="center"/>
        <w:rPr>
          <w:rFonts w:ascii="黑体" w:eastAsia="黑体"/>
          <w:b/>
          <w:color w:val="auto"/>
          <w:sz w:val="32"/>
          <w:szCs w:val="32"/>
          <w:highlight w:val="none"/>
        </w:rPr>
      </w:pPr>
    </w:p>
    <w:p w14:paraId="6C19108F">
      <w:pPr>
        <w:adjustRightInd w:val="0"/>
        <w:snapToGrid w:val="0"/>
        <w:spacing w:line="360" w:lineRule="auto"/>
        <w:jc w:val="center"/>
        <w:rPr>
          <w:rFonts w:ascii="黑体" w:eastAsia="黑体"/>
          <w:b/>
          <w:color w:val="auto"/>
          <w:sz w:val="32"/>
          <w:szCs w:val="32"/>
          <w:highlight w:val="none"/>
        </w:rPr>
      </w:pPr>
    </w:p>
    <w:p w14:paraId="456B2BE4">
      <w:pPr>
        <w:adjustRightInd w:val="0"/>
        <w:snapToGrid w:val="0"/>
        <w:spacing w:line="360" w:lineRule="auto"/>
        <w:jc w:val="both"/>
        <w:rPr>
          <w:rFonts w:ascii="黑体" w:eastAsia="黑体"/>
          <w:b/>
          <w:color w:val="auto"/>
          <w:sz w:val="32"/>
          <w:szCs w:val="32"/>
          <w:highlight w:val="none"/>
        </w:rPr>
      </w:pPr>
    </w:p>
    <w:p w14:paraId="59FEE73D">
      <w:pPr>
        <w:spacing w:line="360" w:lineRule="auto"/>
        <w:rPr>
          <w:rFonts w:ascii="黑体" w:eastAsia="黑体"/>
          <w:b/>
          <w:color w:val="auto"/>
          <w:sz w:val="32"/>
          <w:szCs w:val="32"/>
          <w:highlight w:val="none"/>
        </w:rPr>
      </w:pPr>
      <w:r>
        <w:rPr>
          <w:rFonts w:hint="eastAsia" w:ascii="黑体" w:eastAsia="黑体"/>
          <w:b/>
          <w:color w:val="auto"/>
          <w:sz w:val="32"/>
          <w:szCs w:val="32"/>
          <w:highlight w:val="none"/>
        </w:rPr>
        <w:br w:type="page"/>
      </w:r>
    </w:p>
    <w:p w14:paraId="416ECC02">
      <w:pPr>
        <w:pStyle w:val="5"/>
        <w:spacing w:line="360" w:lineRule="auto"/>
        <w:rPr>
          <w:color w:val="auto"/>
          <w:sz w:val="28"/>
          <w:szCs w:val="28"/>
          <w:highlight w:val="none"/>
        </w:rPr>
      </w:pPr>
      <w:r>
        <w:rPr>
          <w:rFonts w:hint="eastAsia"/>
          <w:color w:val="auto"/>
          <w:sz w:val="28"/>
          <w:szCs w:val="28"/>
          <w:highlight w:val="none"/>
        </w:rPr>
        <w:t>法定代表人身份证明书</w:t>
      </w:r>
    </w:p>
    <w:p w14:paraId="641D08EF">
      <w:pPr>
        <w:adjustRightInd w:val="0"/>
        <w:snapToGrid w:val="0"/>
        <w:spacing w:line="360" w:lineRule="auto"/>
        <w:rPr>
          <w:color w:val="auto"/>
          <w:sz w:val="28"/>
          <w:szCs w:val="28"/>
          <w:highlight w:val="none"/>
          <w:u w:val="single"/>
        </w:rPr>
      </w:pPr>
    </w:p>
    <w:p w14:paraId="2FD1B77D">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u w:val="single"/>
          <w:lang w:val="en-US" w:eastAsia="zh-CN"/>
        </w:rPr>
        <w:t xml:space="preserve">          </w:t>
      </w:r>
      <w:r>
        <w:rPr>
          <w:rFonts w:hint="eastAsia"/>
          <w:color w:val="auto"/>
          <w:sz w:val="22"/>
          <w:szCs w:val="22"/>
          <w:highlight w:val="none"/>
        </w:rPr>
        <w:t>在我</w:t>
      </w:r>
      <w:r>
        <w:rPr>
          <w:rFonts w:hint="eastAsia"/>
          <w:color w:val="auto"/>
          <w:sz w:val="22"/>
          <w:szCs w:val="22"/>
          <w:highlight w:val="none"/>
          <w:u w:val="single"/>
          <w:lang w:val="en-US" w:eastAsia="zh-CN"/>
        </w:rPr>
        <w:t xml:space="preserve">           </w:t>
      </w:r>
      <w:r>
        <w:rPr>
          <w:rFonts w:hint="eastAsia"/>
          <w:color w:val="auto"/>
          <w:sz w:val="22"/>
          <w:szCs w:val="22"/>
          <w:highlight w:val="none"/>
        </w:rPr>
        <w:t>任</w:t>
      </w:r>
      <w:r>
        <w:rPr>
          <w:rFonts w:hint="eastAsia"/>
          <w:color w:val="auto"/>
          <w:sz w:val="22"/>
          <w:szCs w:val="22"/>
          <w:highlight w:val="none"/>
          <w:u w:val="single"/>
          <w:lang w:val="en-US" w:eastAsia="zh-CN"/>
        </w:rPr>
        <w:t xml:space="preserve">        </w:t>
      </w:r>
      <w:r>
        <w:rPr>
          <w:rFonts w:hint="eastAsia"/>
          <w:color w:val="auto"/>
          <w:sz w:val="22"/>
          <w:szCs w:val="22"/>
          <w:highlight w:val="none"/>
        </w:rPr>
        <w:t>职务，是我</w:t>
      </w:r>
      <w:r>
        <w:rPr>
          <w:rFonts w:hint="eastAsia"/>
          <w:color w:val="auto"/>
          <w:sz w:val="22"/>
          <w:szCs w:val="22"/>
          <w:highlight w:val="none"/>
          <w:u w:val="single"/>
          <w:lang w:val="en-US" w:eastAsia="zh-CN"/>
        </w:rPr>
        <w:t xml:space="preserve">                </w:t>
      </w:r>
      <w:r>
        <w:rPr>
          <w:rFonts w:hint="eastAsia"/>
          <w:color w:val="auto"/>
          <w:sz w:val="22"/>
          <w:szCs w:val="22"/>
          <w:highlight w:val="none"/>
          <w:lang w:val="en-US" w:eastAsia="zh-CN"/>
        </w:rPr>
        <w:t xml:space="preserve"> </w:t>
      </w:r>
      <w:r>
        <w:rPr>
          <w:rFonts w:hint="eastAsia"/>
          <w:color w:val="auto"/>
          <w:sz w:val="22"/>
          <w:szCs w:val="22"/>
          <w:highlight w:val="none"/>
        </w:rPr>
        <w:t>的法定代表人。</w:t>
      </w:r>
    </w:p>
    <w:p w14:paraId="7176B2D7">
      <w:pPr>
        <w:adjustRightInd w:val="0"/>
        <w:snapToGrid w:val="0"/>
        <w:spacing w:line="360" w:lineRule="auto"/>
        <w:rPr>
          <w:color w:val="auto"/>
          <w:sz w:val="22"/>
          <w:szCs w:val="22"/>
          <w:highlight w:val="none"/>
        </w:rPr>
      </w:pPr>
      <w:r>
        <w:rPr>
          <w:rFonts w:hint="eastAsia"/>
          <w:color w:val="auto"/>
          <w:sz w:val="22"/>
          <w:szCs w:val="22"/>
          <w:highlight w:val="none"/>
        </w:rPr>
        <w:t>特此证明。</w:t>
      </w:r>
    </w:p>
    <w:p w14:paraId="1C16BBDD">
      <w:pPr>
        <w:adjustRightInd w:val="0"/>
        <w:snapToGrid w:val="0"/>
        <w:spacing w:line="360" w:lineRule="auto"/>
        <w:rPr>
          <w:color w:val="auto"/>
          <w:sz w:val="22"/>
          <w:szCs w:val="22"/>
          <w:highlight w:val="none"/>
        </w:rPr>
      </w:pPr>
    </w:p>
    <w:p w14:paraId="739AF593">
      <w:pPr>
        <w:adjustRightInd w:val="0"/>
        <w:snapToGrid w:val="0"/>
        <w:spacing w:line="360" w:lineRule="auto"/>
        <w:rPr>
          <w:color w:val="auto"/>
          <w:sz w:val="22"/>
          <w:szCs w:val="22"/>
          <w:highlight w:val="none"/>
        </w:rPr>
      </w:pPr>
    </w:p>
    <w:p w14:paraId="5EA02499">
      <w:pPr>
        <w:adjustRightInd w:val="0"/>
        <w:snapToGrid w:val="0"/>
        <w:spacing w:line="360" w:lineRule="auto"/>
        <w:rPr>
          <w:color w:val="auto"/>
          <w:sz w:val="22"/>
          <w:szCs w:val="22"/>
          <w:highlight w:val="none"/>
        </w:rPr>
      </w:pPr>
    </w:p>
    <w:p w14:paraId="15EFB2B0">
      <w:pPr>
        <w:adjustRightInd w:val="0"/>
        <w:snapToGrid w:val="0"/>
        <w:spacing w:line="360" w:lineRule="auto"/>
        <w:rPr>
          <w:color w:val="auto"/>
          <w:sz w:val="22"/>
          <w:szCs w:val="22"/>
          <w:highlight w:val="none"/>
        </w:rPr>
      </w:pPr>
      <w:r>
        <w:rPr>
          <w:rFonts w:hint="eastAsia"/>
          <w:color w:val="auto"/>
          <w:sz w:val="22"/>
          <w:szCs w:val="22"/>
          <w:highlight w:val="none"/>
        </w:rPr>
        <w:t>单位名称：</w:t>
      </w:r>
      <w:r>
        <w:rPr>
          <w:rFonts w:hint="eastAsia"/>
          <w:color w:val="auto"/>
          <w:sz w:val="22"/>
          <w:szCs w:val="22"/>
          <w:highlight w:val="none"/>
          <w:u w:val="single"/>
          <w:lang w:val="en-US" w:eastAsia="zh-CN"/>
        </w:rPr>
        <w:t xml:space="preserve">                        </w:t>
      </w:r>
      <w:r>
        <w:rPr>
          <w:rFonts w:hint="eastAsia"/>
          <w:color w:val="auto"/>
          <w:sz w:val="22"/>
          <w:szCs w:val="22"/>
          <w:highlight w:val="none"/>
        </w:rPr>
        <w:t xml:space="preserve"> （单位公章）</w:t>
      </w:r>
    </w:p>
    <w:p w14:paraId="7A97D5C8">
      <w:pPr>
        <w:adjustRightInd w:val="0"/>
        <w:snapToGrid w:val="0"/>
        <w:spacing w:line="360" w:lineRule="auto"/>
        <w:rPr>
          <w:color w:val="auto"/>
          <w:sz w:val="22"/>
          <w:szCs w:val="22"/>
          <w:highlight w:val="none"/>
        </w:rPr>
      </w:pPr>
    </w:p>
    <w:p w14:paraId="2A5A81B5">
      <w:pPr>
        <w:adjustRightInd w:val="0"/>
        <w:snapToGrid w:val="0"/>
        <w:spacing w:line="360" w:lineRule="auto"/>
        <w:rPr>
          <w:color w:val="auto"/>
          <w:sz w:val="22"/>
          <w:szCs w:val="22"/>
          <w:highlight w:val="none"/>
        </w:rPr>
      </w:pPr>
      <w:r>
        <w:rPr>
          <w:rFonts w:hint="eastAsia"/>
          <w:color w:val="auto"/>
          <w:sz w:val="22"/>
          <w:szCs w:val="22"/>
          <w:highlight w:val="none"/>
        </w:rPr>
        <w:t xml:space="preserve">   </w:t>
      </w:r>
      <w:r>
        <w:rPr>
          <w:rFonts w:hint="eastAsia"/>
          <w:color w:val="auto"/>
          <w:sz w:val="22"/>
          <w:szCs w:val="22"/>
          <w:highlight w:val="none"/>
          <w:lang w:val="en-US" w:eastAsia="zh-CN"/>
        </w:rPr>
        <w:t xml:space="preserve">   </w:t>
      </w:r>
      <w:r>
        <w:rPr>
          <w:rFonts w:hint="eastAsia"/>
          <w:color w:val="auto"/>
          <w:sz w:val="22"/>
          <w:szCs w:val="22"/>
          <w:highlight w:val="none"/>
          <w:u w:val="single"/>
        </w:rPr>
        <w:t xml:space="preserve">        </w:t>
      </w:r>
      <w:r>
        <w:rPr>
          <w:rFonts w:hint="eastAsia"/>
          <w:color w:val="auto"/>
          <w:sz w:val="22"/>
          <w:szCs w:val="22"/>
          <w:highlight w:val="none"/>
        </w:rPr>
        <w:t xml:space="preserve"> 年</w:t>
      </w:r>
      <w:r>
        <w:rPr>
          <w:rFonts w:hint="eastAsia"/>
          <w:color w:val="auto"/>
          <w:sz w:val="22"/>
          <w:szCs w:val="22"/>
          <w:highlight w:val="none"/>
          <w:u w:val="single"/>
        </w:rPr>
        <w:t xml:space="preserve">    </w:t>
      </w:r>
      <w:r>
        <w:rPr>
          <w:rFonts w:hint="eastAsia"/>
          <w:color w:val="auto"/>
          <w:sz w:val="22"/>
          <w:szCs w:val="22"/>
          <w:highlight w:val="none"/>
        </w:rPr>
        <w:t>月</w:t>
      </w:r>
      <w:r>
        <w:rPr>
          <w:rFonts w:hint="eastAsia"/>
          <w:color w:val="auto"/>
          <w:sz w:val="22"/>
          <w:szCs w:val="22"/>
          <w:highlight w:val="none"/>
          <w:u w:val="single"/>
        </w:rPr>
        <w:t xml:space="preserve">    </w:t>
      </w:r>
      <w:r>
        <w:rPr>
          <w:rFonts w:hint="eastAsia"/>
          <w:color w:val="auto"/>
          <w:sz w:val="22"/>
          <w:szCs w:val="22"/>
          <w:highlight w:val="none"/>
        </w:rPr>
        <w:t>日</w:t>
      </w:r>
    </w:p>
    <w:p w14:paraId="77DD8B63">
      <w:pPr>
        <w:adjustRightInd w:val="0"/>
        <w:snapToGrid w:val="0"/>
        <w:spacing w:line="360" w:lineRule="auto"/>
        <w:rPr>
          <w:color w:val="auto"/>
          <w:sz w:val="22"/>
          <w:szCs w:val="22"/>
          <w:highlight w:val="none"/>
        </w:rPr>
      </w:pPr>
    </w:p>
    <w:p w14:paraId="4C25CBB8">
      <w:pPr>
        <w:adjustRightInd w:val="0"/>
        <w:snapToGrid w:val="0"/>
        <w:spacing w:line="360" w:lineRule="auto"/>
        <w:rPr>
          <w:color w:val="auto"/>
          <w:sz w:val="22"/>
          <w:szCs w:val="22"/>
          <w:highlight w:val="none"/>
        </w:rPr>
      </w:pPr>
    </w:p>
    <w:p w14:paraId="323C1C2B">
      <w:pPr>
        <w:adjustRightInd w:val="0"/>
        <w:snapToGrid w:val="0"/>
        <w:spacing w:line="360" w:lineRule="auto"/>
        <w:rPr>
          <w:rFonts w:hint="default" w:eastAsia="宋体"/>
          <w:color w:val="auto"/>
          <w:sz w:val="22"/>
          <w:szCs w:val="22"/>
          <w:highlight w:val="none"/>
          <w:u w:val="single"/>
          <w:lang w:val="en-US" w:eastAsia="zh-CN"/>
        </w:rPr>
      </w:pPr>
      <w:r>
        <w:rPr>
          <w:rFonts w:hint="eastAsia"/>
          <w:color w:val="auto"/>
          <w:sz w:val="22"/>
          <w:szCs w:val="22"/>
          <w:highlight w:val="none"/>
        </w:rPr>
        <w:t>住    址：</w:t>
      </w:r>
      <w:r>
        <w:rPr>
          <w:rFonts w:hint="eastAsia"/>
          <w:color w:val="auto"/>
          <w:sz w:val="22"/>
          <w:szCs w:val="22"/>
          <w:highlight w:val="none"/>
          <w:u w:val="single"/>
          <w:lang w:val="en-US" w:eastAsia="zh-CN"/>
        </w:rPr>
        <w:t xml:space="preserve">                           </w:t>
      </w:r>
    </w:p>
    <w:p w14:paraId="19676D52">
      <w:pPr>
        <w:adjustRightInd w:val="0"/>
        <w:snapToGrid w:val="0"/>
        <w:spacing w:line="360" w:lineRule="auto"/>
        <w:rPr>
          <w:color w:val="auto"/>
          <w:sz w:val="22"/>
          <w:szCs w:val="22"/>
          <w:highlight w:val="none"/>
        </w:rPr>
      </w:pPr>
    </w:p>
    <w:p w14:paraId="0117FA43">
      <w:pPr>
        <w:pStyle w:val="13"/>
        <w:adjustRightInd w:val="0"/>
        <w:snapToGrid w:val="0"/>
        <w:spacing w:line="360" w:lineRule="auto"/>
        <w:rPr>
          <w:rFonts w:hint="default" w:eastAsia="宋体"/>
          <w:color w:val="auto"/>
          <w:sz w:val="22"/>
          <w:szCs w:val="22"/>
          <w:highlight w:val="none"/>
          <w:u w:val="single"/>
          <w:lang w:val="en-US" w:eastAsia="zh-CN"/>
        </w:rPr>
      </w:pPr>
      <w:r>
        <w:rPr>
          <w:rFonts w:hint="eastAsia"/>
          <w:color w:val="auto"/>
          <w:sz w:val="22"/>
          <w:szCs w:val="22"/>
          <w:highlight w:val="none"/>
        </w:rPr>
        <w:t>联系电话：</w:t>
      </w:r>
      <w:r>
        <w:rPr>
          <w:rFonts w:hint="eastAsia"/>
          <w:color w:val="auto"/>
          <w:sz w:val="22"/>
          <w:szCs w:val="22"/>
          <w:highlight w:val="none"/>
          <w:u w:val="single"/>
          <w:lang w:val="en-US" w:eastAsia="zh-CN"/>
        </w:rPr>
        <w:t xml:space="preserve">                          </w:t>
      </w:r>
    </w:p>
    <w:p w14:paraId="3E3E074C">
      <w:pPr>
        <w:pStyle w:val="13"/>
        <w:adjustRightInd w:val="0"/>
        <w:snapToGrid w:val="0"/>
        <w:spacing w:line="360" w:lineRule="auto"/>
        <w:rPr>
          <w:color w:val="auto"/>
          <w:sz w:val="22"/>
          <w:szCs w:val="22"/>
          <w:highlight w:val="none"/>
        </w:rPr>
      </w:pPr>
    </w:p>
    <w:tbl>
      <w:tblPr>
        <w:tblStyle w:val="25"/>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14:paraId="15F9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040" w:type="dxa"/>
            <w:vAlign w:val="top"/>
          </w:tcPr>
          <w:p w14:paraId="55DAADA3">
            <w:pPr>
              <w:snapToGrid w:val="0"/>
              <w:spacing w:before="0" w:beforeAutospacing="0" w:after="0" w:afterAutospacing="0" w:line="360" w:lineRule="auto"/>
              <w:ind w:left="0" w:right="0"/>
              <w:rPr>
                <w:rFonts w:hint="default" w:ascii="Times New Roman" w:hAnsi="Times New Roman" w:eastAsia="Times New Roman" w:cs="Times New Roman"/>
                <w:color w:val="auto"/>
                <w:sz w:val="22"/>
                <w:szCs w:val="22"/>
                <w:highlight w:val="none"/>
              </w:rPr>
            </w:pPr>
            <w:r>
              <w:rPr>
                <w:rFonts w:hint="eastAsia" w:ascii="Times New Roman" w:hAnsi="Times New Roman" w:eastAsia="Times New Roman" w:cs="Times New Roman"/>
                <w:color w:val="auto"/>
                <w:sz w:val="22"/>
                <w:szCs w:val="22"/>
                <w:highlight w:val="none"/>
              </w:rPr>
              <w:t>贴附“身份证复印件”（正反两面）</w:t>
            </w:r>
          </w:p>
        </w:tc>
      </w:tr>
      <w:tr w14:paraId="61B1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9040" w:type="dxa"/>
            <w:vAlign w:val="top"/>
          </w:tcPr>
          <w:p w14:paraId="707E75BF">
            <w:pPr>
              <w:snapToGrid w:val="0"/>
              <w:spacing w:before="0" w:beforeAutospacing="0" w:after="0" w:afterAutospacing="0" w:line="360" w:lineRule="auto"/>
              <w:ind w:left="0" w:right="0"/>
              <w:rPr>
                <w:rFonts w:hint="default" w:ascii="Times New Roman" w:hAnsi="Times New Roman" w:eastAsia="Times New Roman" w:cs="Times New Roman"/>
                <w:color w:val="auto"/>
                <w:sz w:val="22"/>
                <w:szCs w:val="22"/>
                <w:highlight w:val="none"/>
              </w:rPr>
            </w:pPr>
          </w:p>
          <w:p w14:paraId="64760E8E">
            <w:pPr>
              <w:snapToGrid w:val="0"/>
              <w:spacing w:before="0" w:beforeAutospacing="0" w:after="0" w:afterAutospacing="0" w:line="360" w:lineRule="auto"/>
              <w:ind w:left="0" w:right="0"/>
              <w:rPr>
                <w:rFonts w:hint="default" w:ascii="Times New Roman" w:hAnsi="Times New Roman" w:eastAsia="Times New Roman" w:cs="Times New Roman"/>
                <w:color w:val="auto"/>
                <w:sz w:val="22"/>
                <w:szCs w:val="22"/>
                <w:highlight w:val="none"/>
              </w:rPr>
            </w:pPr>
          </w:p>
          <w:p w14:paraId="138E37CA">
            <w:pPr>
              <w:snapToGrid w:val="0"/>
              <w:spacing w:before="0" w:beforeAutospacing="0" w:after="0" w:afterAutospacing="0" w:line="360" w:lineRule="auto"/>
              <w:ind w:left="0" w:right="0"/>
              <w:rPr>
                <w:rFonts w:hint="default" w:ascii="Times New Roman" w:hAnsi="Times New Roman" w:eastAsia="Times New Roman" w:cs="Times New Roman"/>
                <w:color w:val="auto"/>
                <w:sz w:val="22"/>
                <w:szCs w:val="22"/>
                <w:highlight w:val="none"/>
              </w:rPr>
            </w:pPr>
          </w:p>
        </w:tc>
      </w:tr>
    </w:tbl>
    <w:p w14:paraId="2FCC345E">
      <w:pPr>
        <w:spacing w:line="360" w:lineRule="auto"/>
        <w:rPr>
          <w:color w:val="auto"/>
          <w:highlight w:val="none"/>
        </w:rPr>
      </w:pPr>
    </w:p>
    <w:p w14:paraId="0252771C">
      <w:pPr>
        <w:spacing w:line="360" w:lineRule="auto"/>
        <w:rPr>
          <w:color w:val="auto"/>
          <w:highlight w:val="none"/>
        </w:rPr>
      </w:pPr>
    </w:p>
    <w:p w14:paraId="636C2A7C">
      <w:pPr>
        <w:pStyle w:val="41"/>
        <w:spacing w:line="360" w:lineRule="auto"/>
        <w:rPr>
          <w:color w:val="auto"/>
          <w:highlight w:val="none"/>
        </w:rPr>
      </w:pPr>
    </w:p>
    <w:p w14:paraId="13A8A934">
      <w:pPr>
        <w:pStyle w:val="41"/>
        <w:spacing w:line="360" w:lineRule="auto"/>
        <w:rPr>
          <w:color w:val="auto"/>
          <w:highlight w:val="none"/>
        </w:rPr>
      </w:pPr>
    </w:p>
    <w:p w14:paraId="68C5FB0D">
      <w:pPr>
        <w:pStyle w:val="41"/>
        <w:spacing w:line="360" w:lineRule="auto"/>
        <w:rPr>
          <w:color w:val="auto"/>
          <w:highlight w:val="none"/>
        </w:rPr>
      </w:pPr>
    </w:p>
    <w:p w14:paraId="26AE6FFC">
      <w:pPr>
        <w:pStyle w:val="41"/>
        <w:spacing w:line="360" w:lineRule="auto"/>
        <w:rPr>
          <w:color w:val="auto"/>
          <w:highlight w:val="none"/>
        </w:rPr>
      </w:pPr>
    </w:p>
    <w:p w14:paraId="0358DCBF">
      <w:pPr>
        <w:pStyle w:val="41"/>
        <w:spacing w:line="360" w:lineRule="auto"/>
        <w:rPr>
          <w:color w:val="auto"/>
          <w:highlight w:val="none"/>
        </w:rPr>
      </w:pPr>
    </w:p>
    <w:p w14:paraId="706E4192">
      <w:pPr>
        <w:pStyle w:val="41"/>
        <w:spacing w:line="360" w:lineRule="auto"/>
        <w:rPr>
          <w:color w:val="auto"/>
          <w:highlight w:val="none"/>
        </w:rPr>
      </w:pPr>
    </w:p>
    <w:p w14:paraId="6E36B35A">
      <w:pPr>
        <w:spacing w:line="360" w:lineRule="auto"/>
        <w:rPr>
          <w:color w:val="auto"/>
          <w:highlight w:val="none"/>
        </w:rPr>
      </w:pPr>
      <w:r>
        <w:rPr>
          <w:rFonts w:hint="eastAsia"/>
          <w:color w:val="auto"/>
          <w:highlight w:val="none"/>
        </w:rPr>
        <w:t>附件4</w:t>
      </w:r>
    </w:p>
    <w:p w14:paraId="2D23C7DE">
      <w:pPr>
        <w:spacing w:line="360" w:lineRule="auto"/>
        <w:rPr>
          <w:color w:val="auto"/>
          <w:szCs w:val="21"/>
          <w:highlight w:val="none"/>
        </w:rPr>
      </w:pPr>
    </w:p>
    <w:p w14:paraId="5D60E4B7">
      <w:pPr>
        <w:pStyle w:val="5"/>
        <w:spacing w:line="360" w:lineRule="auto"/>
        <w:rPr>
          <w:color w:val="auto"/>
          <w:highlight w:val="none"/>
        </w:rPr>
      </w:pPr>
      <w:r>
        <w:rPr>
          <w:rFonts w:hint="eastAsia"/>
          <w:color w:val="auto"/>
          <w:highlight w:val="none"/>
        </w:rPr>
        <w:t>近三年内，在经营活动中没有重大违法记录的声明函（格式）</w:t>
      </w:r>
    </w:p>
    <w:p w14:paraId="26EB7C8C">
      <w:pPr>
        <w:adjustRightInd w:val="0"/>
        <w:snapToGrid w:val="0"/>
        <w:spacing w:line="360" w:lineRule="auto"/>
        <w:jc w:val="center"/>
        <w:rPr>
          <w:b/>
          <w:color w:val="auto"/>
          <w:szCs w:val="21"/>
          <w:highlight w:val="none"/>
        </w:rPr>
      </w:pPr>
    </w:p>
    <w:p w14:paraId="1B5A1D87">
      <w:pPr>
        <w:adjustRightInd w:val="0"/>
        <w:snapToGrid w:val="0"/>
        <w:spacing w:line="360" w:lineRule="auto"/>
        <w:rPr>
          <w:color w:val="auto"/>
          <w:szCs w:val="21"/>
          <w:highlight w:val="none"/>
        </w:rPr>
      </w:pPr>
    </w:p>
    <w:p w14:paraId="1421BC0E">
      <w:pPr>
        <w:adjustRightInd w:val="0"/>
        <w:snapToGrid w:val="0"/>
        <w:spacing w:line="360" w:lineRule="auto"/>
        <w:rPr>
          <w:color w:val="auto"/>
          <w:szCs w:val="21"/>
          <w:highlight w:val="none"/>
        </w:rPr>
      </w:pPr>
      <w:r>
        <w:rPr>
          <w:rFonts w:hint="eastAsia"/>
          <w:color w:val="auto"/>
          <w:szCs w:val="21"/>
          <w:highlight w:val="none"/>
        </w:rPr>
        <w:t>致：</w:t>
      </w:r>
      <w:r>
        <w:rPr>
          <w:rFonts w:hint="eastAsia"/>
          <w:color w:val="auto"/>
          <w:szCs w:val="21"/>
          <w:highlight w:val="none"/>
          <w:u w:val="single"/>
        </w:rPr>
        <w:t xml:space="preserve"> （采购代理机构名称） </w:t>
      </w:r>
    </w:p>
    <w:p w14:paraId="5C8DFE96">
      <w:pPr>
        <w:adjustRightInd w:val="0"/>
        <w:snapToGrid w:val="0"/>
        <w:spacing w:line="360" w:lineRule="auto"/>
        <w:rPr>
          <w:color w:val="auto"/>
          <w:szCs w:val="21"/>
          <w:highlight w:val="none"/>
        </w:rPr>
      </w:pPr>
    </w:p>
    <w:p w14:paraId="0D15C4F5">
      <w:pPr>
        <w:adjustRightInd w:val="0"/>
        <w:snapToGrid w:val="0"/>
        <w:spacing w:line="360" w:lineRule="auto"/>
        <w:ind w:firstLine="440" w:firstLineChars="200"/>
        <w:rPr>
          <w:color w:val="auto"/>
          <w:szCs w:val="21"/>
          <w:highlight w:val="none"/>
        </w:rPr>
      </w:pPr>
      <w:r>
        <w:rPr>
          <w:rFonts w:hint="eastAsia"/>
          <w:color w:val="auto"/>
          <w:szCs w:val="21"/>
          <w:highlight w:val="none"/>
        </w:rPr>
        <w:t>我单位近三年在经营活动中没有重大违法记录（包括：因违法经营受到刑事处罚或者责令停产停业，吊销许可证或者执照、较大数额罚款等行政处罚），特此声明。</w:t>
      </w:r>
    </w:p>
    <w:p w14:paraId="0C1F7553">
      <w:pPr>
        <w:adjustRightInd w:val="0"/>
        <w:snapToGrid w:val="0"/>
        <w:spacing w:line="360" w:lineRule="auto"/>
        <w:rPr>
          <w:color w:val="auto"/>
          <w:szCs w:val="21"/>
          <w:highlight w:val="none"/>
        </w:rPr>
      </w:pPr>
      <w:r>
        <w:rPr>
          <w:rFonts w:hint="eastAsia"/>
          <w:color w:val="auto"/>
          <w:szCs w:val="21"/>
          <w:highlight w:val="none"/>
        </w:rPr>
        <w:t>若招标采购单位在本项目采购过程中发现我单位近三年内在经营活动中有重大违法记录，我单位将无条件地退出本项目的磋商，并承担因此引起的一切后果。</w:t>
      </w:r>
    </w:p>
    <w:p w14:paraId="5BCA8DF4">
      <w:pPr>
        <w:adjustRightInd w:val="0"/>
        <w:snapToGrid w:val="0"/>
        <w:spacing w:line="360" w:lineRule="auto"/>
        <w:rPr>
          <w:color w:val="auto"/>
          <w:szCs w:val="21"/>
          <w:highlight w:val="none"/>
        </w:rPr>
      </w:pPr>
    </w:p>
    <w:p w14:paraId="2D602A20">
      <w:pPr>
        <w:adjustRightInd w:val="0"/>
        <w:snapToGrid w:val="0"/>
        <w:spacing w:line="360" w:lineRule="auto"/>
        <w:rPr>
          <w:color w:val="auto"/>
          <w:szCs w:val="21"/>
          <w:highlight w:val="none"/>
        </w:rPr>
      </w:pPr>
    </w:p>
    <w:p w14:paraId="69C9B6E4">
      <w:pPr>
        <w:adjustRightInd w:val="0"/>
        <w:snapToGrid w:val="0"/>
        <w:spacing w:line="360" w:lineRule="auto"/>
        <w:rPr>
          <w:color w:val="auto"/>
          <w:szCs w:val="21"/>
          <w:highlight w:val="none"/>
        </w:rPr>
      </w:pPr>
    </w:p>
    <w:p w14:paraId="342A0561">
      <w:pPr>
        <w:adjustRightInd w:val="0"/>
        <w:snapToGrid w:val="0"/>
        <w:spacing w:line="360" w:lineRule="auto"/>
        <w:rPr>
          <w:color w:val="auto"/>
          <w:szCs w:val="21"/>
          <w:highlight w:val="none"/>
        </w:rPr>
      </w:pPr>
    </w:p>
    <w:p w14:paraId="012DD928">
      <w:pPr>
        <w:adjustRightInd w:val="0"/>
        <w:snapToGrid w:val="0"/>
        <w:spacing w:line="360" w:lineRule="auto"/>
        <w:rPr>
          <w:rFonts w:hint="default" w:eastAsia="宋体"/>
          <w:color w:val="auto"/>
          <w:szCs w:val="21"/>
          <w:highlight w:val="none"/>
          <w:u w:val="single"/>
          <w:lang w:val="en-US" w:eastAsia="zh-CN"/>
        </w:rPr>
      </w:pPr>
      <w:r>
        <w:rPr>
          <w:rFonts w:hint="eastAsia"/>
          <w:color w:val="auto"/>
          <w:szCs w:val="21"/>
          <w:highlight w:val="none"/>
        </w:rPr>
        <w:t>供应商（公章）：</w:t>
      </w:r>
      <w:r>
        <w:rPr>
          <w:rFonts w:hint="eastAsia"/>
          <w:color w:val="auto"/>
          <w:szCs w:val="21"/>
          <w:highlight w:val="none"/>
          <w:u w:val="single"/>
          <w:lang w:val="en-US" w:eastAsia="zh-CN"/>
        </w:rPr>
        <w:t xml:space="preserve">                 </w:t>
      </w:r>
    </w:p>
    <w:p w14:paraId="23A62245">
      <w:pPr>
        <w:spacing w:line="360" w:lineRule="auto"/>
        <w:rPr>
          <w:rFonts w:hint="default" w:eastAsia="宋体"/>
          <w:color w:val="auto"/>
          <w:szCs w:val="21"/>
          <w:highlight w:val="none"/>
          <w:u w:val="single"/>
          <w:lang w:val="en-US" w:eastAsia="zh-CN"/>
        </w:rPr>
      </w:pPr>
      <w:r>
        <w:rPr>
          <w:rFonts w:hint="eastAsia"/>
          <w:color w:val="auto"/>
          <w:szCs w:val="21"/>
          <w:highlight w:val="none"/>
        </w:rPr>
        <w:t>法定代表人签字或盖章：</w:t>
      </w:r>
      <w:r>
        <w:rPr>
          <w:rFonts w:hint="eastAsia"/>
          <w:color w:val="auto"/>
          <w:szCs w:val="21"/>
          <w:highlight w:val="none"/>
          <w:u w:val="single"/>
          <w:lang w:val="en-US" w:eastAsia="zh-CN"/>
        </w:rPr>
        <w:t xml:space="preserve">              </w:t>
      </w:r>
    </w:p>
    <w:p w14:paraId="71761475">
      <w:pPr>
        <w:adjustRightInd w:val="0"/>
        <w:snapToGrid w:val="0"/>
        <w:spacing w:line="360" w:lineRule="auto"/>
        <w:rPr>
          <w:rFonts w:hint="default" w:eastAsia="宋体"/>
          <w:color w:val="auto"/>
          <w:szCs w:val="21"/>
          <w:highlight w:val="none"/>
          <w:u w:val="single"/>
          <w:lang w:val="en-US" w:eastAsia="zh-CN"/>
        </w:rPr>
      </w:pPr>
      <w:r>
        <w:rPr>
          <w:rFonts w:hint="eastAsia"/>
          <w:color w:val="auto"/>
          <w:szCs w:val="21"/>
          <w:highlight w:val="none"/>
        </w:rPr>
        <w:t>日期：</w:t>
      </w:r>
      <w:r>
        <w:rPr>
          <w:rFonts w:hint="eastAsia"/>
          <w:color w:val="auto"/>
          <w:szCs w:val="21"/>
          <w:highlight w:val="none"/>
          <w:u w:val="single"/>
          <w:lang w:val="en-US" w:eastAsia="zh-CN"/>
        </w:rPr>
        <w:t xml:space="preserve">            </w:t>
      </w:r>
    </w:p>
    <w:p w14:paraId="75318C48">
      <w:pPr>
        <w:spacing w:line="240" w:lineRule="auto"/>
        <w:rPr>
          <w:b/>
          <w:color w:val="auto"/>
          <w:szCs w:val="21"/>
          <w:highlight w:val="none"/>
        </w:rPr>
      </w:pPr>
      <w:r>
        <w:rPr>
          <w:b/>
          <w:color w:val="auto"/>
          <w:szCs w:val="21"/>
          <w:highlight w:val="none"/>
        </w:rPr>
        <w:br w:type="page"/>
      </w:r>
    </w:p>
    <w:p w14:paraId="4EFAC0FF">
      <w:pPr>
        <w:spacing w:line="360" w:lineRule="auto"/>
        <w:rPr>
          <w:rFonts w:hint="eastAsia"/>
          <w:b w:val="0"/>
          <w:bCs/>
          <w:color w:val="auto"/>
          <w:szCs w:val="21"/>
          <w:highlight w:val="none"/>
        </w:rPr>
      </w:pPr>
      <w:r>
        <w:rPr>
          <w:rFonts w:hint="eastAsia"/>
          <w:b w:val="0"/>
          <w:bCs/>
          <w:color w:val="auto"/>
          <w:szCs w:val="21"/>
          <w:highlight w:val="none"/>
        </w:rPr>
        <w:t>附件5</w:t>
      </w:r>
    </w:p>
    <w:p w14:paraId="45EC7C92">
      <w:pPr>
        <w:spacing w:before="202" w:line="224" w:lineRule="auto"/>
        <w:ind w:left="3237"/>
        <w:rPr>
          <w:rFonts w:ascii="宋体" w:hAnsi="宋体" w:eastAsia="宋体" w:cs="宋体"/>
          <w:color w:val="auto"/>
          <w:sz w:val="31"/>
          <w:szCs w:val="31"/>
        </w:rPr>
      </w:pPr>
      <w:r>
        <w:rPr>
          <w:rFonts w:ascii="宋体" w:hAnsi="宋体" w:eastAsia="宋体" w:cs="宋体"/>
          <w:b/>
          <w:bCs/>
          <w:color w:val="auto"/>
          <w:spacing w:val="6"/>
          <w:sz w:val="31"/>
          <w:szCs w:val="31"/>
        </w:rPr>
        <w:t>供应商直接控股股东信息表</w:t>
      </w:r>
    </w:p>
    <w:p w14:paraId="1F1F2712">
      <w:pPr>
        <w:spacing w:before="6"/>
        <w:rPr>
          <w:color w:val="auto"/>
        </w:rPr>
      </w:pPr>
    </w:p>
    <w:tbl>
      <w:tblPr>
        <w:tblStyle w:val="60"/>
        <w:tblW w:w="9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6"/>
        <w:gridCol w:w="2454"/>
        <w:gridCol w:w="1344"/>
        <w:gridCol w:w="3693"/>
        <w:gridCol w:w="911"/>
      </w:tblGrid>
      <w:tr w14:paraId="1ADEE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816" w:type="dxa"/>
            <w:vAlign w:val="top"/>
          </w:tcPr>
          <w:p w14:paraId="715471E3">
            <w:pPr>
              <w:pStyle w:val="59"/>
              <w:spacing w:before="252" w:line="240" w:lineRule="auto"/>
              <w:ind w:left="0" w:firstLine="0" w:firstLineChars="0"/>
              <w:jc w:val="center"/>
              <w:rPr>
                <w:color w:val="auto"/>
                <w:sz w:val="24"/>
                <w:szCs w:val="24"/>
              </w:rPr>
            </w:pPr>
            <w:r>
              <w:rPr>
                <w:b/>
                <w:bCs/>
                <w:color w:val="auto"/>
                <w:spacing w:val="4"/>
                <w:sz w:val="24"/>
                <w:szCs w:val="24"/>
              </w:rPr>
              <w:t>序号</w:t>
            </w:r>
          </w:p>
        </w:tc>
        <w:tc>
          <w:tcPr>
            <w:tcW w:w="2454" w:type="dxa"/>
            <w:vAlign w:val="top"/>
          </w:tcPr>
          <w:p w14:paraId="77DA6C60">
            <w:pPr>
              <w:pStyle w:val="59"/>
              <w:spacing w:before="252" w:line="240" w:lineRule="auto"/>
              <w:ind w:left="0"/>
              <w:jc w:val="center"/>
              <w:rPr>
                <w:color w:val="auto"/>
                <w:sz w:val="24"/>
                <w:szCs w:val="24"/>
              </w:rPr>
            </w:pPr>
            <w:r>
              <w:rPr>
                <w:b/>
                <w:bCs/>
                <w:color w:val="auto"/>
                <w:spacing w:val="7"/>
                <w:sz w:val="24"/>
                <w:szCs w:val="24"/>
              </w:rPr>
              <w:t>直接控股股东名称</w:t>
            </w:r>
          </w:p>
        </w:tc>
        <w:tc>
          <w:tcPr>
            <w:tcW w:w="1344" w:type="dxa"/>
            <w:vAlign w:val="top"/>
          </w:tcPr>
          <w:p w14:paraId="63E291E8">
            <w:pPr>
              <w:pStyle w:val="59"/>
              <w:spacing w:before="252" w:line="240" w:lineRule="auto"/>
              <w:ind w:left="0"/>
              <w:jc w:val="center"/>
              <w:rPr>
                <w:color w:val="auto"/>
                <w:sz w:val="24"/>
                <w:szCs w:val="24"/>
              </w:rPr>
            </w:pPr>
            <w:r>
              <w:rPr>
                <w:b/>
                <w:bCs/>
                <w:color w:val="auto"/>
                <w:spacing w:val="2"/>
                <w:sz w:val="24"/>
                <w:szCs w:val="24"/>
              </w:rPr>
              <w:t>出资比例</w:t>
            </w:r>
          </w:p>
        </w:tc>
        <w:tc>
          <w:tcPr>
            <w:tcW w:w="3693" w:type="dxa"/>
            <w:vAlign w:val="top"/>
          </w:tcPr>
          <w:p w14:paraId="37AE986D">
            <w:pPr>
              <w:pStyle w:val="59"/>
              <w:spacing w:before="252" w:line="240" w:lineRule="auto"/>
              <w:ind w:left="0"/>
              <w:jc w:val="center"/>
              <w:rPr>
                <w:color w:val="auto"/>
                <w:sz w:val="24"/>
                <w:szCs w:val="24"/>
              </w:rPr>
            </w:pPr>
            <w:r>
              <w:rPr>
                <w:b/>
                <w:bCs/>
                <w:color w:val="auto"/>
                <w:spacing w:val="7"/>
                <w:sz w:val="24"/>
                <w:szCs w:val="24"/>
              </w:rPr>
              <w:t>身份证号码或统一社会信用代码</w:t>
            </w:r>
          </w:p>
        </w:tc>
        <w:tc>
          <w:tcPr>
            <w:tcW w:w="911" w:type="dxa"/>
            <w:vAlign w:val="top"/>
          </w:tcPr>
          <w:p w14:paraId="0B7BCA61">
            <w:pPr>
              <w:pStyle w:val="59"/>
              <w:spacing w:before="252" w:line="240" w:lineRule="auto"/>
              <w:ind w:left="0" w:firstLine="0" w:firstLineChars="0"/>
              <w:jc w:val="center"/>
              <w:rPr>
                <w:color w:val="auto"/>
                <w:sz w:val="24"/>
                <w:szCs w:val="24"/>
              </w:rPr>
            </w:pPr>
            <w:r>
              <w:rPr>
                <w:b/>
                <w:bCs/>
                <w:color w:val="auto"/>
                <w:spacing w:val="2"/>
                <w:sz w:val="24"/>
                <w:szCs w:val="24"/>
              </w:rPr>
              <w:t>备注</w:t>
            </w:r>
          </w:p>
        </w:tc>
      </w:tr>
      <w:tr w14:paraId="13CBA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16" w:type="dxa"/>
            <w:vAlign w:val="top"/>
          </w:tcPr>
          <w:p w14:paraId="356FF763">
            <w:pPr>
              <w:pStyle w:val="59"/>
              <w:spacing w:before="284" w:line="189" w:lineRule="auto"/>
              <w:ind w:left="344"/>
              <w:rPr>
                <w:color w:val="auto"/>
                <w:sz w:val="24"/>
                <w:szCs w:val="24"/>
              </w:rPr>
            </w:pPr>
            <w:r>
              <w:rPr>
                <w:color w:val="auto"/>
                <w:sz w:val="24"/>
                <w:szCs w:val="24"/>
              </w:rPr>
              <w:t>1</w:t>
            </w:r>
          </w:p>
        </w:tc>
        <w:tc>
          <w:tcPr>
            <w:tcW w:w="2454" w:type="dxa"/>
            <w:vAlign w:val="top"/>
          </w:tcPr>
          <w:p w14:paraId="666868A8">
            <w:pPr>
              <w:rPr>
                <w:rFonts w:ascii="Arial"/>
                <w:color w:val="auto"/>
                <w:sz w:val="24"/>
                <w:szCs w:val="24"/>
              </w:rPr>
            </w:pPr>
          </w:p>
        </w:tc>
        <w:tc>
          <w:tcPr>
            <w:tcW w:w="1344" w:type="dxa"/>
            <w:vAlign w:val="top"/>
          </w:tcPr>
          <w:p w14:paraId="70631476">
            <w:pPr>
              <w:rPr>
                <w:rFonts w:ascii="Arial"/>
                <w:color w:val="auto"/>
                <w:sz w:val="24"/>
                <w:szCs w:val="24"/>
              </w:rPr>
            </w:pPr>
          </w:p>
        </w:tc>
        <w:tc>
          <w:tcPr>
            <w:tcW w:w="3693" w:type="dxa"/>
            <w:vAlign w:val="top"/>
          </w:tcPr>
          <w:p w14:paraId="06408AC5">
            <w:pPr>
              <w:rPr>
                <w:rFonts w:ascii="Arial"/>
                <w:color w:val="auto"/>
                <w:sz w:val="24"/>
                <w:szCs w:val="24"/>
              </w:rPr>
            </w:pPr>
          </w:p>
        </w:tc>
        <w:tc>
          <w:tcPr>
            <w:tcW w:w="911" w:type="dxa"/>
            <w:vAlign w:val="top"/>
          </w:tcPr>
          <w:p w14:paraId="3F8947E5">
            <w:pPr>
              <w:rPr>
                <w:rFonts w:ascii="Arial"/>
                <w:color w:val="auto"/>
                <w:sz w:val="24"/>
                <w:szCs w:val="24"/>
              </w:rPr>
            </w:pPr>
          </w:p>
        </w:tc>
      </w:tr>
      <w:tr w14:paraId="1BC97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16" w:type="dxa"/>
            <w:vAlign w:val="top"/>
          </w:tcPr>
          <w:p w14:paraId="07A41DD8">
            <w:pPr>
              <w:pStyle w:val="59"/>
              <w:spacing w:before="284" w:line="189" w:lineRule="auto"/>
              <w:ind w:left="331"/>
              <w:rPr>
                <w:color w:val="auto"/>
                <w:sz w:val="24"/>
                <w:szCs w:val="24"/>
              </w:rPr>
            </w:pPr>
            <w:r>
              <w:rPr>
                <w:color w:val="auto"/>
                <w:sz w:val="24"/>
                <w:szCs w:val="24"/>
              </w:rPr>
              <w:t>2</w:t>
            </w:r>
          </w:p>
        </w:tc>
        <w:tc>
          <w:tcPr>
            <w:tcW w:w="2454" w:type="dxa"/>
            <w:vAlign w:val="top"/>
          </w:tcPr>
          <w:p w14:paraId="3D0ED807">
            <w:pPr>
              <w:rPr>
                <w:rFonts w:ascii="Arial"/>
                <w:color w:val="auto"/>
                <w:sz w:val="24"/>
                <w:szCs w:val="24"/>
              </w:rPr>
            </w:pPr>
          </w:p>
        </w:tc>
        <w:tc>
          <w:tcPr>
            <w:tcW w:w="1344" w:type="dxa"/>
            <w:vAlign w:val="top"/>
          </w:tcPr>
          <w:p w14:paraId="4F2311B0">
            <w:pPr>
              <w:rPr>
                <w:rFonts w:ascii="Arial"/>
                <w:color w:val="auto"/>
                <w:sz w:val="24"/>
                <w:szCs w:val="24"/>
              </w:rPr>
            </w:pPr>
          </w:p>
        </w:tc>
        <w:tc>
          <w:tcPr>
            <w:tcW w:w="3693" w:type="dxa"/>
            <w:vAlign w:val="top"/>
          </w:tcPr>
          <w:p w14:paraId="279E09D0">
            <w:pPr>
              <w:rPr>
                <w:rFonts w:ascii="Arial"/>
                <w:color w:val="auto"/>
                <w:sz w:val="24"/>
                <w:szCs w:val="24"/>
              </w:rPr>
            </w:pPr>
          </w:p>
        </w:tc>
        <w:tc>
          <w:tcPr>
            <w:tcW w:w="911" w:type="dxa"/>
            <w:vAlign w:val="top"/>
          </w:tcPr>
          <w:p w14:paraId="0ADBB987">
            <w:pPr>
              <w:rPr>
                <w:rFonts w:ascii="Arial"/>
                <w:color w:val="auto"/>
                <w:sz w:val="24"/>
                <w:szCs w:val="24"/>
              </w:rPr>
            </w:pPr>
          </w:p>
        </w:tc>
      </w:tr>
      <w:tr w14:paraId="00EA8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16" w:type="dxa"/>
            <w:vAlign w:val="top"/>
          </w:tcPr>
          <w:p w14:paraId="70D3F238">
            <w:pPr>
              <w:pStyle w:val="59"/>
              <w:spacing w:before="285" w:line="189" w:lineRule="auto"/>
              <w:ind w:left="332"/>
              <w:rPr>
                <w:color w:val="auto"/>
                <w:sz w:val="24"/>
                <w:szCs w:val="24"/>
              </w:rPr>
            </w:pPr>
            <w:r>
              <w:rPr>
                <w:color w:val="auto"/>
                <w:sz w:val="24"/>
                <w:szCs w:val="24"/>
              </w:rPr>
              <w:t>3</w:t>
            </w:r>
          </w:p>
        </w:tc>
        <w:tc>
          <w:tcPr>
            <w:tcW w:w="2454" w:type="dxa"/>
            <w:vAlign w:val="top"/>
          </w:tcPr>
          <w:p w14:paraId="43F8DA7A">
            <w:pPr>
              <w:rPr>
                <w:rFonts w:ascii="Arial"/>
                <w:color w:val="auto"/>
                <w:sz w:val="24"/>
                <w:szCs w:val="24"/>
              </w:rPr>
            </w:pPr>
          </w:p>
        </w:tc>
        <w:tc>
          <w:tcPr>
            <w:tcW w:w="1344" w:type="dxa"/>
            <w:vAlign w:val="top"/>
          </w:tcPr>
          <w:p w14:paraId="70AAEE82">
            <w:pPr>
              <w:rPr>
                <w:rFonts w:ascii="Arial"/>
                <w:color w:val="auto"/>
                <w:sz w:val="24"/>
                <w:szCs w:val="24"/>
              </w:rPr>
            </w:pPr>
          </w:p>
        </w:tc>
        <w:tc>
          <w:tcPr>
            <w:tcW w:w="3693" w:type="dxa"/>
            <w:vAlign w:val="top"/>
          </w:tcPr>
          <w:p w14:paraId="38921D9D">
            <w:pPr>
              <w:rPr>
                <w:rFonts w:ascii="Arial"/>
                <w:color w:val="auto"/>
                <w:sz w:val="24"/>
                <w:szCs w:val="24"/>
              </w:rPr>
            </w:pPr>
          </w:p>
        </w:tc>
        <w:tc>
          <w:tcPr>
            <w:tcW w:w="911" w:type="dxa"/>
            <w:vAlign w:val="top"/>
          </w:tcPr>
          <w:p w14:paraId="01D04697">
            <w:pPr>
              <w:rPr>
                <w:rFonts w:ascii="Arial"/>
                <w:color w:val="auto"/>
                <w:sz w:val="24"/>
                <w:szCs w:val="24"/>
              </w:rPr>
            </w:pPr>
          </w:p>
        </w:tc>
      </w:tr>
      <w:tr w14:paraId="5FFE6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816" w:type="dxa"/>
            <w:vAlign w:val="top"/>
          </w:tcPr>
          <w:p w14:paraId="3F42B425">
            <w:pPr>
              <w:pStyle w:val="59"/>
              <w:spacing w:before="253" w:line="324" w:lineRule="exact"/>
              <w:ind w:left="140"/>
              <w:rPr>
                <w:color w:val="auto"/>
                <w:sz w:val="24"/>
                <w:szCs w:val="24"/>
              </w:rPr>
            </w:pPr>
            <w:r>
              <w:rPr>
                <w:color w:val="auto"/>
                <w:spacing w:val="-2"/>
                <w:position w:val="2"/>
                <w:sz w:val="24"/>
                <w:szCs w:val="24"/>
              </w:rPr>
              <w:t>……</w:t>
            </w:r>
          </w:p>
        </w:tc>
        <w:tc>
          <w:tcPr>
            <w:tcW w:w="2454" w:type="dxa"/>
            <w:vAlign w:val="top"/>
          </w:tcPr>
          <w:p w14:paraId="2A63C336">
            <w:pPr>
              <w:rPr>
                <w:rFonts w:ascii="Arial"/>
                <w:color w:val="auto"/>
                <w:sz w:val="24"/>
                <w:szCs w:val="24"/>
              </w:rPr>
            </w:pPr>
          </w:p>
        </w:tc>
        <w:tc>
          <w:tcPr>
            <w:tcW w:w="1344" w:type="dxa"/>
            <w:vAlign w:val="top"/>
          </w:tcPr>
          <w:p w14:paraId="66669576">
            <w:pPr>
              <w:rPr>
                <w:rFonts w:ascii="Arial"/>
                <w:color w:val="auto"/>
                <w:sz w:val="24"/>
                <w:szCs w:val="24"/>
              </w:rPr>
            </w:pPr>
          </w:p>
        </w:tc>
        <w:tc>
          <w:tcPr>
            <w:tcW w:w="3693" w:type="dxa"/>
            <w:vAlign w:val="top"/>
          </w:tcPr>
          <w:p w14:paraId="496F66DD">
            <w:pPr>
              <w:rPr>
                <w:rFonts w:ascii="Arial"/>
                <w:color w:val="auto"/>
                <w:sz w:val="24"/>
                <w:szCs w:val="24"/>
              </w:rPr>
            </w:pPr>
          </w:p>
        </w:tc>
        <w:tc>
          <w:tcPr>
            <w:tcW w:w="911" w:type="dxa"/>
            <w:vAlign w:val="top"/>
          </w:tcPr>
          <w:p w14:paraId="0958EE8D">
            <w:pPr>
              <w:rPr>
                <w:rFonts w:ascii="Arial"/>
                <w:color w:val="auto"/>
                <w:sz w:val="24"/>
                <w:szCs w:val="24"/>
              </w:rPr>
            </w:pPr>
          </w:p>
        </w:tc>
      </w:tr>
    </w:tbl>
    <w:p w14:paraId="145107B6">
      <w:pPr>
        <w:spacing w:before="29" w:line="232" w:lineRule="auto"/>
        <w:ind w:left="532"/>
        <w:rPr>
          <w:rFonts w:ascii="宋体" w:hAnsi="宋体" w:eastAsia="宋体" w:cs="宋体"/>
          <w:color w:val="auto"/>
          <w:sz w:val="24"/>
          <w:szCs w:val="24"/>
        </w:rPr>
      </w:pPr>
      <w:r>
        <w:rPr>
          <w:rFonts w:ascii="宋体" w:hAnsi="宋体" w:eastAsia="宋体" w:cs="宋体"/>
          <w:color w:val="auto"/>
          <w:sz w:val="24"/>
          <w:szCs w:val="24"/>
        </w:rPr>
        <w:t>注：</w:t>
      </w:r>
    </w:p>
    <w:p w14:paraId="5A101435">
      <w:pPr>
        <w:spacing w:before="157" w:line="367" w:lineRule="auto"/>
        <w:ind w:left="113" w:right="296" w:firstLine="434"/>
        <w:rPr>
          <w:rFonts w:ascii="宋体" w:hAnsi="宋体" w:eastAsia="宋体" w:cs="宋体"/>
          <w:color w:val="auto"/>
          <w:sz w:val="24"/>
          <w:szCs w:val="24"/>
        </w:rPr>
      </w:pPr>
      <w:r>
        <w:rPr>
          <w:rFonts w:ascii="宋体" w:hAnsi="宋体" w:eastAsia="宋体" w:cs="宋体"/>
          <w:color w:val="auto"/>
          <w:spacing w:val="9"/>
          <w:sz w:val="24"/>
          <w:szCs w:val="24"/>
        </w:rPr>
        <w:t>1.直接控股股东：是指其出资额占有限责任公司资本总额百分之五十以上或者其持有的股份占股份</w:t>
      </w:r>
      <w:r>
        <w:rPr>
          <w:rFonts w:ascii="宋体" w:hAnsi="宋体" w:eastAsia="宋体" w:cs="宋体"/>
          <w:color w:val="auto"/>
          <w:spacing w:val="8"/>
          <w:sz w:val="24"/>
          <w:szCs w:val="24"/>
        </w:rPr>
        <w:t xml:space="preserve"> </w:t>
      </w:r>
      <w:r>
        <w:rPr>
          <w:rFonts w:ascii="宋体" w:hAnsi="宋体" w:eastAsia="宋体" w:cs="宋体"/>
          <w:color w:val="auto"/>
          <w:spacing w:val="10"/>
          <w:sz w:val="24"/>
          <w:szCs w:val="24"/>
        </w:rPr>
        <w:t>有限公司股份总额百分之五十以上的股东；出资额或者持有股份的比例虽然</w:t>
      </w:r>
      <w:r>
        <w:rPr>
          <w:rFonts w:ascii="宋体" w:hAnsi="宋体" w:eastAsia="宋体" w:cs="宋体"/>
          <w:color w:val="auto"/>
          <w:spacing w:val="9"/>
          <w:sz w:val="24"/>
          <w:szCs w:val="24"/>
        </w:rPr>
        <w:t>不足百分之五十，但依其出</w:t>
      </w:r>
      <w:r>
        <w:rPr>
          <w:rFonts w:ascii="宋体" w:hAnsi="宋体" w:eastAsia="宋体" w:cs="宋体"/>
          <w:color w:val="auto"/>
          <w:sz w:val="24"/>
          <w:szCs w:val="24"/>
        </w:rPr>
        <w:t xml:space="preserve"> </w:t>
      </w:r>
      <w:r>
        <w:rPr>
          <w:rFonts w:ascii="宋体" w:hAnsi="宋体" w:eastAsia="宋体" w:cs="宋体"/>
          <w:color w:val="auto"/>
          <w:spacing w:val="9"/>
          <w:sz w:val="24"/>
          <w:szCs w:val="24"/>
        </w:rPr>
        <w:t>资额或者持有的股份所享有的表决权已足以对股东会、股东大会的决议产生重大影响的股东。</w:t>
      </w:r>
    </w:p>
    <w:p w14:paraId="799FBE61">
      <w:pPr>
        <w:spacing w:before="32" w:line="364" w:lineRule="auto"/>
        <w:ind w:left="129" w:right="296" w:firstLine="405"/>
        <w:rPr>
          <w:rFonts w:ascii="宋体" w:hAnsi="宋体" w:eastAsia="宋体" w:cs="宋体"/>
          <w:color w:val="auto"/>
          <w:sz w:val="24"/>
          <w:szCs w:val="24"/>
        </w:rPr>
      </w:pPr>
      <w:r>
        <w:rPr>
          <w:rFonts w:ascii="宋体" w:hAnsi="宋体" w:eastAsia="宋体" w:cs="宋体"/>
          <w:color w:val="auto"/>
          <w:spacing w:val="10"/>
          <w:sz w:val="24"/>
          <w:szCs w:val="24"/>
        </w:rPr>
        <w:t>2.本表所指的控股关系仅限于直接控股关系，</w:t>
      </w:r>
      <w:r>
        <w:rPr>
          <w:rFonts w:ascii="宋体" w:hAnsi="宋体" w:eastAsia="宋体" w:cs="宋体"/>
          <w:color w:val="auto"/>
          <w:spacing w:val="9"/>
          <w:sz w:val="24"/>
          <w:szCs w:val="24"/>
        </w:rPr>
        <w:t>不包括间接的控股关系。公司实际控制人与公司之间</w:t>
      </w:r>
      <w:r>
        <w:rPr>
          <w:rFonts w:ascii="宋体" w:hAnsi="宋体" w:eastAsia="宋体" w:cs="宋体"/>
          <w:color w:val="auto"/>
          <w:sz w:val="24"/>
          <w:szCs w:val="24"/>
        </w:rPr>
        <w:t xml:space="preserve"> </w:t>
      </w:r>
      <w:r>
        <w:rPr>
          <w:rFonts w:ascii="宋体" w:hAnsi="宋体" w:eastAsia="宋体" w:cs="宋体"/>
          <w:color w:val="auto"/>
          <w:spacing w:val="7"/>
          <w:sz w:val="24"/>
          <w:szCs w:val="24"/>
        </w:rPr>
        <w:t>的关系不属于本表所指的直接控股关系。</w:t>
      </w:r>
    </w:p>
    <w:p w14:paraId="4A9B562A">
      <w:pPr>
        <w:spacing w:before="30" w:line="227" w:lineRule="auto"/>
        <w:ind w:left="536"/>
        <w:rPr>
          <w:rFonts w:ascii="宋体" w:hAnsi="宋体" w:eastAsia="宋体" w:cs="宋体"/>
          <w:color w:val="auto"/>
          <w:sz w:val="24"/>
          <w:szCs w:val="24"/>
        </w:rPr>
      </w:pPr>
      <w:r>
        <w:rPr>
          <w:rFonts w:ascii="宋体" w:hAnsi="宋体" w:eastAsia="宋体" w:cs="宋体"/>
          <w:color w:val="auto"/>
          <w:spacing w:val="8"/>
          <w:sz w:val="24"/>
          <w:szCs w:val="24"/>
        </w:rPr>
        <w:t>3.供应商不存在直接控股股东的，则填“无</w:t>
      </w:r>
      <w:r>
        <w:rPr>
          <w:rFonts w:ascii="宋体" w:hAnsi="宋体" w:eastAsia="宋体" w:cs="宋体"/>
          <w:color w:val="auto"/>
          <w:spacing w:val="-61"/>
          <w:sz w:val="24"/>
          <w:szCs w:val="24"/>
        </w:rPr>
        <w:t xml:space="preserve"> </w:t>
      </w:r>
      <w:r>
        <w:rPr>
          <w:rFonts w:ascii="宋体" w:hAnsi="宋体" w:eastAsia="宋体" w:cs="宋体"/>
          <w:color w:val="auto"/>
          <w:spacing w:val="8"/>
          <w:sz w:val="24"/>
          <w:szCs w:val="24"/>
        </w:rPr>
        <w:t>”。</w:t>
      </w:r>
    </w:p>
    <w:p w14:paraId="2700439B">
      <w:pPr>
        <w:pStyle w:val="11"/>
        <w:spacing w:line="251" w:lineRule="auto"/>
        <w:rPr>
          <w:color w:val="auto"/>
          <w:sz w:val="24"/>
          <w:szCs w:val="24"/>
        </w:rPr>
      </w:pPr>
    </w:p>
    <w:p w14:paraId="010CEF4F">
      <w:pPr>
        <w:pStyle w:val="11"/>
        <w:spacing w:line="251" w:lineRule="auto"/>
        <w:rPr>
          <w:color w:val="auto"/>
          <w:sz w:val="24"/>
          <w:szCs w:val="24"/>
        </w:rPr>
      </w:pPr>
    </w:p>
    <w:p w14:paraId="73D8A19D">
      <w:pPr>
        <w:pStyle w:val="11"/>
        <w:spacing w:line="251" w:lineRule="auto"/>
        <w:rPr>
          <w:color w:val="auto"/>
          <w:sz w:val="24"/>
          <w:szCs w:val="24"/>
        </w:rPr>
      </w:pPr>
    </w:p>
    <w:p w14:paraId="75A34C45">
      <w:pPr>
        <w:pStyle w:val="11"/>
        <w:spacing w:line="252" w:lineRule="auto"/>
        <w:rPr>
          <w:color w:val="auto"/>
          <w:sz w:val="24"/>
          <w:szCs w:val="24"/>
        </w:rPr>
      </w:pPr>
    </w:p>
    <w:p w14:paraId="16DFC9DA">
      <w:pPr>
        <w:spacing w:before="66" w:line="227" w:lineRule="auto"/>
        <w:ind w:left="4963"/>
        <w:rPr>
          <w:rFonts w:ascii="宋体" w:hAnsi="宋体" w:eastAsia="宋体" w:cs="宋体"/>
          <w:color w:val="auto"/>
          <w:sz w:val="24"/>
          <w:szCs w:val="24"/>
        </w:rPr>
      </w:pPr>
      <w:r>
        <w:rPr>
          <w:rFonts w:ascii="宋体" w:hAnsi="宋体" w:eastAsia="宋体" w:cs="宋体"/>
          <w:b/>
          <w:bCs/>
          <w:color w:val="auto"/>
          <w:spacing w:val="3"/>
          <w:sz w:val="24"/>
          <w:szCs w:val="24"/>
        </w:rPr>
        <w:t>供应商公章：</w:t>
      </w:r>
      <w:r>
        <w:rPr>
          <w:rFonts w:ascii="宋体" w:hAnsi="宋体" w:eastAsia="宋体" w:cs="宋体"/>
          <w:color w:val="auto"/>
          <w:spacing w:val="3"/>
          <w:sz w:val="24"/>
          <w:szCs w:val="24"/>
        </w:rPr>
        <w:t xml:space="preserve"> </w:t>
      </w:r>
      <w:r>
        <w:rPr>
          <w:rFonts w:ascii="宋体" w:hAnsi="宋体" w:eastAsia="宋体" w:cs="宋体"/>
          <w:color w:val="auto"/>
          <w:sz w:val="24"/>
          <w:szCs w:val="24"/>
          <w:u w:val="single" w:color="auto"/>
        </w:rPr>
        <w:t xml:space="preserve">                                 </w:t>
      </w:r>
    </w:p>
    <w:p w14:paraId="3EC3D6EB">
      <w:pPr>
        <w:pStyle w:val="11"/>
        <w:spacing w:line="286" w:lineRule="auto"/>
        <w:rPr>
          <w:color w:val="auto"/>
          <w:sz w:val="24"/>
          <w:szCs w:val="24"/>
        </w:rPr>
      </w:pPr>
    </w:p>
    <w:p w14:paraId="74AF2C5E">
      <w:pPr>
        <w:spacing w:before="65" w:line="228" w:lineRule="auto"/>
        <w:ind w:left="4963"/>
        <w:rPr>
          <w:rFonts w:ascii="宋体" w:hAnsi="宋体" w:eastAsia="宋体" w:cs="宋体"/>
          <w:color w:val="auto"/>
          <w:sz w:val="24"/>
          <w:szCs w:val="24"/>
        </w:rPr>
      </w:pPr>
      <w:r>
        <w:rPr>
          <w:rFonts w:ascii="宋体" w:hAnsi="宋体" w:eastAsia="宋体" w:cs="宋体"/>
          <w:b/>
          <w:bCs/>
          <w:color w:val="auto"/>
          <w:spacing w:val="5"/>
          <w:sz w:val="24"/>
          <w:szCs w:val="24"/>
        </w:rPr>
        <w:t>法定代表人或委托代理人(签字)</w:t>
      </w:r>
      <w:r>
        <w:rPr>
          <w:rFonts w:ascii="宋体" w:hAnsi="宋体" w:eastAsia="宋体" w:cs="宋体"/>
          <w:color w:val="auto"/>
          <w:spacing w:val="5"/>
          <w:sz w:val="24"/>
          <w:szCs w:val="24"/>
        </w:rPr>
        <w:t>：</w:t>
      </w:r>
      <w:r>
        <w:rPr>
          <w:rFonts w:ascii="宋体" w:hAnsi="宋体" w:eastAsia="宋体" w:cs="宋体"/>
          <w:color w:val="auto"/>
          <w:sz w:val="24"/>
          <w:szCs w:val="24"/>
          <w:u w:val="single" w:color="auto"/>
        </w:rPr>
        <w:t xml:space="preserve">               </w:t>
      </w:r>
    </w:p>
    <w:p w14:paraId="267188DC">
      <w:pPr>
        <w:tabs>
          <w:tab w:val="left" w:pos="7875"/>
        </w:tabs>
        <w:spacing w:before="65" w:line="228" w:lineRule="auto"/>
        <w:ind w:left="0"/>
        <w:rPr>
          <w:rFonts w:ascii="宋体" w:hAnsi="宋体" w:eastAsia="宋体" w:cs="宋体"/>
          <w:color w:val="auto"/>
          <w:sz w:val="24"/>
          <w:szCs w:val="24"/>
          <w:u w:val="single" w:color="auto"/>
        </w:rPr>
      </w:pPr>
    </w:p>
    <w:p w14:paraId="0CF6C8C2">
      <w:pPr>
        <w:tabs>
          <w:tab w:val="left" w:pos="7875"/>
        </w:tabs>
        <w:spacing w:before="65" w:line="228" w:lineRule="auto"/>
        <w:ind w:left="0" w:firstLine="4956" w:firstLineChars="2100"/>
        <w:rPr>
          <w:rFonts w:ascii="宋体" w:hAnsi="宋体" w:eastAsia="宋体" w:cs="宋体"/>
          <w:color w:val="auto"/>
          <w:sz w:val="24"/>
          <w:szCs w:val="24"/>
          <w:u w:val="none" w:color="auto"/>
        </w:rPr>
      </w:pPr>
      <w:r>
        <w:rPr>
          <w:rFonts w:hint="eastAsia" w:cs="宋体"/>
          <w:color w:val="auto"/>
          <w:spacing w:val="-2"/>
          <w:sz w:val="24"/>
          <w:szCs w:val="24"/>
          <w:u w:val="single" w:color="auto"/>
          <w:lang w:val="en-US" w:eastAsia="zh-CN"/>
        </w:rPr>
        <w:t xml:space="preserve">         </w:t>
      </w:r>
      <w:r>
        <w:rPr>
          <w:rFonts w:ascii="宋体" w:hAnsi="宋体" w:eastAsia="宋体" w:cs="宋体"/>
          <w:color w:val="auto"/>
          <w:spacing w:val="-2"/>
          <w:sz w:val="24"/>
          <w:szCs w:val="24"/>
          <w:u w:val="none" w:color="auto"/>
        </w:rPr>
        <w:t>年</w:t>
      </w:r>
      <w:r>
        <w:rPr>
          <w:rFonts w:ascii="宋体" w:hAnsi="宋体" w:eastAsia="宋体" w:cs="宋体"/>
          <w:color w:val="auto"/>
          <w:spacing w:val="-98"/>
          <w:sz w:val="24"/>
          <w:szCs w:val="24"/>
          <w:u w:val="single" w:color="auto"/>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u w:val="single" w:color="auto"/>
        </w:rPr>
        <w:t xml:space="preserve"> </w:t>
      </w:r>
      <w:r>
        <w:rPr>
          <w:rFonts w:ascii="宋体" w:hAnsi="宋体" w:eastAsia="宋体" w:cs="宋体"/>
          <w:color w:val="auto"/>
          <w:spacing w:val="-2"/>
          <w:sz w:val="24"/>
          <w:szCs w:val="24"/>
          <w:u w:val="none" w:color="auto"/>
        </w:rPr>
        <w:t>月</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55"/>
          <w:sz w:val="24"/>
          <w:szCs w:val="24"/>
          <w:u w:val="single" w:color="auto"/>
        </w:rPr>
        <w:t xml:space="preserve"> </w:t>
      </w:r>
      <w:r>
        <w:rPr>
          <w:rFonts w:ascii="宋体" w:hAnsi="宋体" w:eastAsia="宋体" w:cs="宋体"/>
          <w:color w:val="auto"/>
          <w:spacing w:val="-2"/>
          <w:sz w:val="24"/>
          <w:szCs w:val="24"/>
          <w:u w:val="none" w:color="auto"/>
        </w:rPr>
        <w:t>日</w:t>
      </w:r>
    </w:p>
    <w:p w14:paraId="53EEA924">
      <w:pPr>
        <w:tabs>
          <w:tab w:val="left" w:pos="7875"/>
        </w:tabs>
        <w:spacing w:before="65" w:line="228" w:lineRule="auto"/>
        <w:ind w:left="0" w:firstLine="20750" w:firstLineChars="8300"/>
        <w:rPr>
          <w:rFonts w:ascii="宋体" w:hAnsi="宋体" w:eastAsia="宋体" w:cs="宋体"/>
          <w:color w:val="auto"/>
          <w:sz w:val="20"/>
          <w:szCs w:val="20"/>
        </w:rPr>
      </w:pP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rPr>
        <w:t xml:space="preserve"> </w:t>
      </w:r>
    </w:p>
    <w:p w14:paraId="63FA04D5">
      <w:pPr>
        <w:spacing w:line="360" w:lineRule="auto"/>
        <w:rPr>
          <w:b/>
          <w:color w:val="auto"/>
          <w:szCs w:val="21"/>
          <w:highlight w:val="none"/>
        </w:rPr>
      </w:pPr>
    </w:p>
    <w:p w14:paraId="2FE3ADB5">
      <w:pPr>
        <w:spacing w:line="360" w:lineRule="auto"/>
        <w:rPr>
          <w:color w:val="auto"/>
          <w:szCs w:val="21"/>
          <w:highlight w:val="none"/>
        </w:rPr>
      </w:pPr>
    </w:p>
    <w:p w14:paraId="03E2580C">
      <w:pPr>
        <w:bidi w:val="0"/>
        <w:rPr>
          <w:color w:val="auto"/>
        </w:rPr>
      </w:pPr>
    </w:p>
    <w:p w14:paraId="378EA3F3">
      <w:pPr>
        <w:bidi w:val="0"/>
        <w:rPr>
          <w:color w:val="auto"/>
        </w:rPr>
      </w:pPr>
    </w:p>
    <w:p w14:paraId="5AED2FE3">
      <w:pPr>
        <w:bidi w:val="0"/>
        <w:rPr>
          <w:color w:val="auto"/>
        </w:rPr>
      </w:pPr>
    </w:p>
    <w:p w14:paraId="64E7507C">
      <w:pPr>
        <w:bidi w:val="0"/>
        <w:rPr>
          <w:color w:val="auto"/>
        </w:rPr>
      </w:pPr>
    </w:p>
    <w:p w14:paraId="24FB4ACB">
      <w:pPr>
        <w:pStyle w:val="11"/>
        <w:rPr>
          <w:color w:val="auto"/>
        </w:rPr>
      </w:pPr>
    </w:p>
    <w:p w14:paraId="049E0B23"/>
    <w:p w14:paraId="5B137D7B">
      <w:pPr>
        <w:spacing w:line="360" w:lineRule="auto"/>
        <w:rPr>
          <w:rFonts w:hint="eastAsia" w:eastAsia="宋体"/>
          <w:b w:val="0"/>
          <w:bCs/>
          <w:color w:val="auto"/>
          <w:szCs w:val="21"/>
          <w:highlight w:val="none"/>
          <w:lang w:eastAsia="zh-CN"/>
        </w:rPr>
      </w:pPr>
      <w:r>
        <w:rPr>
          <w:rFonts w:hint="eastAsia"/>
          <w:b w:val="0"/>
          <w:bCs/>
          <w:color w:val="auto"/>
          <w:szCs w:val="21"/>
          <w:highlight w:val="none"/>
        </w:rPr>
        <w:t>附件</w:t>
      </w:r>
      <w:r>
        <w:rPr>
          <w:rFonts w:hint="eastAsia"/>
          <w:b w:val="0"/>
          <w:bCs/>
          <w:color w:val="auto"/>
          <w:szCs w:val="21"/>
          <w:highlight w:val="none"/>
          <w:lang w:val="en-US" w:eastAsia="zh-CN"/>
        </w:rPr>
        <w:t>6</w:t>
      </w:r>
    </w:p>
    <w:p w14:paraId="6B53FB19">
      <w:pPr>
        <w:spacing w:before="46" w:line="224" w:lineRule="auto"/>
        <w:ind w:left="3143"/>
        <w:rPr>
          <w:rFonts w:ascii="宋体" w:hAnsi="宋体" w:eastAsia="宋体" w:cs="宋体"/>
          <w:color w:val="auto"/>
          <w:sz w:val="31"/>
          <w:szCs w:val="31"/>
        </w:rPr>
      </w:pPr>
      <w:r>
        <w:rPr>
          <w:rFonts w:ascii="宋体" w:hAnsi="宋体" w:eastAsia="宋体" w:cs="宋体"/>
          <w:b/>
          <w:bCs/>
          <w:color w:val="auto"/>
          <w:spacing w:val="6"/>
          <w:sz w:val="31"/>
          <w:szCs w:val="31"/>
        </w:rPr>
        <w:t>供应商直接管理关系信息表</w:t>
      </w:r>
    </w:p>
    <w:p w14:paraId="03691C88">
      <w:pPr>
        <w:spacing w:line="198" w:lineRule="exact"/>
        <w:rPr>
          <w:color w:val="auto"/>
        </w:rPr>
      </w:pPr>
    </w:p>
    <w:tbl>
      <w:tblPr>
        <w:tblStyle w:val="60"/>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5DC97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2" w:type="dxa"/>
            <w:vAlign w:val="top"/>
          </w:tcPr>
          <w:p w14:paraId="5D2B384B">
            <w:pPr>
              <w:pStyle w:val="59"/>
              <w:spacing w:before="254" w:line="229" w:lineRule="auto"/>
              <w:ind w:left="200"/>
              <w:rPr>
                <w:color w:val="auto"/>
                <w:sz w:val="24"/>
                <w:szCs w:val="24"/>
              </w:rPr>
            </w:pPr>
            <w:r>
              <w:rPr>
                <w:b/>
                <w:bCs/>
                <w:color w:val="auto"/>
                <w:spacing w:val="4"/>
                <w:sz w:val="24"/>
                <w:szCs w:val="24"/>
              </w:rPr>
              <w:t>序号</w:t>
            </w:r>
          </w:p>
        </w:tc>
        <w:tc>
          <w:tcPr>
            <w:tcW w:w="3598" w:type="dxa"/>
            <w:vAlign w:val="top"/>
          </w:tcPr>
          <w:p w14:paraId="3026BDCA">
            <w:pPr>
              <w:pStyle w:val="59"/>
              <w:spacing w:before="254" w:line="228" w:lineRule="auto"/>
              <w:ind w:left="751"/>
              <w:rPr>
                <w:color w:val="auto"/>
                <w:sz w:val="24"/>
                <w:szCs w:val="24"/>
              </w:rPr>
            </w:pPr>
            <w:r>
              <w:rPr>
                <w:b/>
                <w:bCs/>
                <w:color w:val="auto"/>
                <w:spacing w:val="7"/>
                <w:sz w:val="24"/>
                <w:szCs w:val="24"/>
              </w:rPr>
              <w:t>直接管理关系单位名称</w:t>
            </w:r>
          </w:p>
        </w:tc>
        <w:tc>
          <w:tcPr>
            <w:tcW w:w="3553" w:type="dxa"/>
            <w:vAlign w:val="top"/>
          </w:tcPr>
          <w:p w14:paraId="0EC79060">
            <w:pPr>
              <w:pStyle w:val="59"/>
              <w:spacing w:before="254" w:line="227" w:lineRule="auto"/>
              <w:ind w:left="943"/>
              <w:rPr>
                <w:color w:val="auto"/>
                <w:sz w:val="24"/>
                <w:szCs w:val="24"/>
              </w:rPr>
            </w:pPr>
            <w:r>
              <w:rPr>
                <w:b/>
                <w:bCs/>
                <w:color w:val="auto"/>
                <w:spacing w:val="6"/>
                <w:sz w:val="24"/>
                <w:szCs w:val="24"/>
              </w:rPr>
              <w:t>统一社会信用代码</w:t>
            </w:r>
          </w:p>
        </w:tc>
        <w:tc>
          <w:tcPr>
            <w:tcW w:w="1693" w:type="dxa"/>
            <w:vAlign w:val="top"/>
          </w:tcPr>
          <w:p w14:paraId="42BA159E">
            <w:pPr>
              <w:pStyle w:val="59"/>
              <w:spacing w:before="254" w:line="229" w:lineRule="auto"/>
              <w:ind w:left="642"/>
              <w:rPr>
                <w:color w:val="auto"/>
                <w:sz w:val="24"/>
                <w:szCs w:val="24"/>
              </w:rPr>
            </w:pPr>
            <w:r>
              <w:rPr>
                <w:b/>
                <w:bCs/>
                <w:color w:val="auto"/>
                <w:spacing w:val="2"/>
                <w:sz w:val="24"/>
                <w:szCs w:val="24"/>
              </w:rPr>
              <w:t>备注</w:t>
            </w:r>
          </w:p>
        </w:tc>
      </w:tr>
      <w:tr w14:paraId="6A42E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2" w:type="dxa"/>
            <w:vAlign w:val="top"/>
          </w:tcPr>
          <w:p w14:paraId="71423EE2">
            <w:pPr>
              <w:pStyle w:val="59"/>
              <w:spacing w:before="283" w:line="189" w:lineRule="auto"/>
              <w:ind w:left="293"/>
              <w:rPr>
                <w:color w:val="auto"/>
                <w:sz w:val="24"/>
                <w:szCs w:val="24"/>
              </w:rPr>
            </w:pPr>
            <w:r>
              <w:rPr>
                <w:color w:val="auto"/>
                <w:sz w:val="24"/>
                <w:szCs w:val="24"/>
              </w:rPr>
              <w:t>1</w:t>
            </w:r>
          </w:p>
        </w:tc>
        <w:tc>
          <w:tcPr>
            <w:tcW w:w="3598" w:type="dxa"/>
            <w:vAlign w:val="top"/>
          </w:tcPr>
          <w:p w14:paraId="2D98123F">
            <w:pPr>
              <w:rPr>
                <w:rFonts w:ascii="Arial"/>
                <w:color w:val="auto"/>
                <w:sz w:val="24"/>
                <w:szCs w:val="24"/>
              </w:rPr>
            </w:pPr>
          </w:p>
        </w:tc>
        <w:tc>
          <w:tcPr>
            <w:tcW w:w="3553" w:type="dxa"/>
            <w:vAlign w:val="top"/>
          </w:tcPr>
          <w:p w14:paraId="2E706192">
            <w:pPr>
              <w:rPr>
                <w:rFonts w:ascii="Arial"/>
                <w:color w:val="auto"/>
                <w:sz w:val="24"/>
                <w:szCs w:val="24"/>
              </w:rPr>
            </w:pPr>
          </w:p>
        </w:tc>
        <w:tc>
          <w:tcPr>
            <w:tcW w:w="1693" w:type="dxa"/>
            <w:vAlign w:val="top"/>
          </w:tcPr>
          <w:p w14:paraId="30DEB794">
            <w:pPr>
              <w:rPr>
                <w:rFonts w:ascii="Arial"/>
                <w:color w:val="auto"/>
                <w:sz w:val="24"/>
                <w:szCs w:val="24"/>
              </w:rPr>
            </w:pPr>
          </w:p>
        </w:tc>
      </w:tr>
      <w:tr w14:paraId="7C303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2" w:type="dxa"/>
            <w:vAlign w:val="top"/>
          </w:tcPr>
          <w:p w14:paraId="3FAC5E5B">
            <w:pPr>
              <w:pStyle w:val="59"/>
              <w:spacing w:before="284" w:line="189" w:lineRule="auto"/>
              <w:ind w:left="280"/>
              <w:rPr>
                <w:color w:val="auto"/>
                <w:sz w:val="24"/>
                <w:szCs w:val="24"/>
              </w:rPr>
            </w:pPr>
            <w:r>
              <w:rPr>
                <w:color w:val="auto"/>
                <w:sz w:val="24"/>
                <w:szCs w:val="24"/>
              </w:rPr>
              <w:t>2</w:t>
            </w:r>
          </w:p>
        </w:tc>
        <w:tc>
          <w:tcPr>
            <w:tcW w:w="3598" w:type="dxa"/>
            <w:vAlign w:val="top"/>
          </w:tcPr>
          <w:p w14:paraId="6B2A7519">
            <w:pPr>
              <w:rPr>
                <w:rFonts w:ascii="Arial"/>
                <w:color w:val="auto"/>
                <w:sz w:val="24"/>
                <w:szCs w:val="24"/>
              </w:rPr>
            </w:pPr>
          </w:p>
        </w:tc>
        <w:tc>
          <w:tcPr>
            <w:tcW w:w="3553" w:type="dxa"/>
            <w:vAlign w:val="top"/>
          </w:tcPr>
          <w:p w14:paraId="3C6A12A2">
            <w:pPr>
              <w:rPr>
                <w:rFonts w:ascii="Arial"/>
                <w:color w:val="auto"/>
                <w:sz w:val="24"/>
                <w:szCs w:val="24"/>
              </w:rPr>
            </w:pPr>
          </w:p>
        </w:tc>
        <w:tc>
          <w:tcPr>
            <w:tcW w:w="1693" w:type="dxa"/>
            <w:vAlign w:val="top"/>
          </w:tcPr>
          <w:p w14:paraId="3DCE14AE">
            <w:pPr>
              <w:rPr>
                <w:rFonts w:ascii="Arial"/>
                <w:color w:val="auto"/>
                <w:sz w:val="24"/>
                <w:szCs w:val="24"/>
              </w:rPr>
            </w:pPr>
          </w:p>
        </w:tc>
      </w:tr>
      <w:tr w14:paraId="498DF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2" w:type="dxa"/>
            <w:vAlign w:val="top"/>
          </w:tcPr>
          <w:p w14:paraId="2B25BDD7">
            <w:pPr>
              <w:pStyle w:val="59"/>
              <w:spacing w:before="285" w:line="189" w:lineRule="auto"/>
              <w:ind w:left="281"/>
              <w:rPr>
                <w:color w:val="auto"/>
                <w:sz w:val="24"/>
                <w:szCs w:val="24"/>
              </w:rPr>
            </w:pPr>
            <w:r>
              <w:rPr>
                <w:color w:val="auto"/>
                <w:sz w:val="24"/>
                <w:szCs w:val="24"/>
              </w:rPr>
              <w:t>3</w:t>
            </w:r>
          </w:p>
        </w:tc>
        <w:tc>
          <w:tcPr>
            <w:tcW w:w="3598" w:type="dxa"/>
            <w:vAlign w:val="top"/>
          </w:tcPr>
          <w:p w14:paraId="0239BE82">
            <w:pPr>
              <w:rPr>
                <w:rFonts w:ascii="Arial"/>
                <w:color w:val="auto"/>
                <w:sz w:val="24"/>
                <w:szCs w:val="24"/>
              </w:rPr>
            </w:pPr>
          </w:p>
        </w:tc>
        <w:tc>
          <w:tcPr>
            <w:tcW w:w="3553" w:type="dxa"/>
            <w:vAlign w:val="top"/>
          </w:tcPr>
          <w:p w14:paraId="4CBE685C">
            <w:pPr>
              <w:rPr>
                <w:rFonts w:ascii="Arial"/>
                <w:color w:val="auto"/>
                <w:sz w:val="24"/>
                <w:szCs w:val="24"/>
              </w:rPr>
            </w:pPr>
          </w:p>
        </w:tc>
        <w:tc>
          <w:tcPr>
            <w:tcW w:w="1693" w:type="dxa"/>
            <w:vAlign w:val="top"/>
          </w:tcPr>
          <w:p w14:paraId="66B9ECBF">
            <w:pPr>
              <w:rPr>
                <w:rFonts w:ascii="Arial"/>
                <w:color w:val="auto"/>
                <w:sz w:val="24"/>
                <w:szCs w:val="24"/>
              </w:rPr>
            </w:pPr>
          </w:p>
        </w:tc>
      </w:tr>
      <w:tr w14:paraId="360FD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812" w:type="dxa"/>
            <w:vAlign w:val="top"/>
          </w:tcPr>
          <w:p w14:paraId="2A5B2EC6">
            <w:pPr>
              <w:pStyle w:val="59"/>
              <w:spacing w:before="252" w:line="324" w:lineRule="exact"/>
              <w:ind w:left="142"/>
              <w:rPr>
                <w:color w:val="auto"/>
                <w:sz w:val="24"/>
                <w:szCs w:val="24"/>
              </w:rPr>
            </w:pPr>
            <w:r>
              <w:rPr>
                <w:color w:val="auto"/>
                <w:spacing w:val="-2"/>
                <w:position w:val="2"/>
                <w:sz w:val="24"/>
                <w:szCs w:val="24"/>
              </w:rPr>
              <w:t>……</w:t>
            </w:r>
          </w:p>
        </w:tc>
        <w:tc>
          <w:tcPr>
            <w:tcW w:w="3598" w:type="dxa"/>
            <w:vAlign w:val="top"/>
          </w:tcPr>
          <w:p w14:paraId="01B6E86E">
            <w:pPr>
              <w:rPr>
                <w:rFonts w:ascii="Arial"/>
                <w:color w:val="auto"/>
                <w:sz w:val="24"/>
                <w:szCs w:val="24"/>
              </w:rPr>
            </w:pPr>
          </w:p>
        </w:tc>
        <w:tc>
          <w:tcPr>
            <w:tcW w:w="3553" w:type="dxa"/>
            <w:vAlign w:val="top"/>
          </w:tcPr>
          <w:p w14:paraId="5A06D759">
            <w:pPr>
              <w:rPr>
                <w:rFonts w:ascii="Arial"/>
                <w:color w:val="auto"/>
                <w:sz w:val="24"/>
                <w:szCs w:val="24"/>
              </w:rPr>
            </w:pPr>
          </w:p>
        </w:tc>
        <w:tc>
          <w:tcPr>
            <w:tcW w:w="1693" w:type="dxa"/>
            <w:vAlign w:val="top"/>
          </w:tcPr>
          <w:p w14:paraId="726200E9">
            <w:pPr>
              <w:rPr>
                <w:rFonts w:ascii="Arial"/>
                <w:color w:val="auto"/>
                <w:sz w:val="24"/>
                <w:szCs w:val="24"/>
              </w:rPr>
            </w:pPr>
          </w:p>
        </w:tc>
      </w:tr>
    </w:tbl>
    <w:p w14:paraId="534E77F2">
      <w:pPr>
        <w:spacing w:before="31" w:line="232" w:lineRule="auto"/>
        <w:ind w:left="438"/>
        <w:rPr>
          <w:rFonts w:ascii="宋体" w:hAnsi="宋体" w:eastAsia="宋体" w:cs="宋体"/>
          <w:color w:val="auto"/>
          <w:sz w:val="24"/>
          <w:szCs w:val="24"/>
        </w:rPr>
      </w:pPr>
      <w:r>
        <w:rPr>
          <w:rFonts w:ascii="宋体" w:hAnsi="宋体" w:eastAsia="宋体" w:cs="宋体"/>
          <w:color w:val="auto"/>
          <w:sz w:val="24"/>
          <w:szCs w:val="24"/>
        </w:rPr>
        <w:t>注：</w:t>
      </w:r>
    </w:p>
    <w:p w14:paraId="6BA7A019">
      <w:pPr>
        <w:spacing w:before="157" w:line="362" w:lineRule="auto"/>
        <w:ind w:left="22" w:right="202" w:firstLine="431"/>
        <w:rPr>
          <w:rFonts w:ascii="宋体" w:hAnsi="宋体" w:eastAsia="宋体" w:cs="宋体"/>
          <w:color w:val="auto"/>
          <w:sz w:val="24"/>
          <w:szCs w:val="24"/>
        </w:rPr>
      </w:pPr>
      <w:r>
        <w:rPr>
          <w:rFonts w:ascii="宋体" w:hAnsi="宋体" w:eastAsia="宋体" w:cs="宋体"/>
          <w:color w:val="auto"/>
          <w:spacing w:val="9"/>
          <w:sz w:val="24"/>
          <w:szCs w:val="24"/>
        </w:rPr>
        <w:t>1.管理关系：是指不具有出资持股关系的其他单位之间存在的管理与被管理关系，如一些上下级关</w:t>
      </w:r>
      <w:r>
        <w:rPr>
          <w:rFonts w:ascii="宋体" w:hAnsi="宋体" w:eastAsia="宋体" w:cs="宋体"/>
          <w:color w:val="auto"/>
          <w:spacing w:val="8"/>
          <w:sz w:val="24"/>
          <w:szCs w:val="24"/>
        </w:rPr>
        <w:t xml:space="preserve"> 系的事业单位和团体组织。</w:t>
      </w:r>
    </w:p>
    <w:p w14:paraId="5EC644E0">
      <w:pPr>
        <w:spacing w:before="30" w:line="362" w:lineRule="auto"/>
        <w:ind w:left="442" w:right="2757" w:hanging="1"/>
        <w:rPr>
          <w:rFonts w:ascii="宋体" w:hAnsi="宋体" w:eastAsia="宋体" w:cs="宋体"/>
          <w:color w:val="auto"/>
          <w:sz w:val="24"/>
          <w:szCs w:val="24"/>
        </w:rPr>
      </w:pPr>
      <w:r>
        <w:rPr>
          <w:rFonts w:ascii="宋体" w:hAnsi="宋体" w:eastAsia="宋体" w:cs="宋体"/>
          <w:color w:val="auto"/>
          <w:spacing w:val="8"/>
          <w:sz w:val="24"/>
          <w:szCs w:val="24"/>
        </w:rPr>
        <w:t>2.本表所指的管理关系仅限于直接管理关系，不包括间接的管理关系。</w:t>
      </w:r>
      <w:r>
        <w:rPr>
          <w:rFonts w:ascii="宋体" w:hAnsi="宋体" w:eastAsia="宋体" w:cs="宋体"/>
          <w:color w:val="auto"/>
          <w:spacing w:val="6"/>
          <w:sz w:val="24"/>
          <w:szCs w:val="24"/>
        </w:rPr>
        <w:t xml:space="preserve"> </w:t>
      </w:r>
      <w:r>
        <w:rPr>
          <w:rFonts w:ascii="宋体" w:hAnsi="宋体" w:eastAsia="宋体" w:cs="宋体"/>
          <w:color w:val="auto"/>
          <w:spacing w:val="8"/>
          <w:sz w:val="24"/>
          <w:szCs w:val="24"/>
        </w:rPr>
        <w:t>3.供应商不存在直接管理关系的，则填“无</w:t>
      </w:r>
      <w:r>
        <w:rPr>
          <w:rFonts w:ascii="宋体" w:hAnsi="宋体" w:eastAsia="宋体" w:cs="宋体"/>
          <w:color w:val="auto"/>
          <w:spacing w:val="-61"/>
          <w:sz w:val="24"/>
          <w:szCs w:val="24"/>
        </w:rPr>
        <w:t xml:space="preserve"> </w:t>
      </w:r>
      <w:r>
        <w:rPr>
          <w:rFonts w:ascii="宋体" w:hAnsi="宋体" w:eastAsia="宋体" w:cs="宋体"/>
          <w:color w:val="auto"/>
          <w:spacing w:val="8"/>
          <w:sz w:val="24"/>
          <w:szCs w:val="24"/>
        </w:rPr>
        <w:t>”。</w:t>
      </w:r>
    </w:p>
    <w:p w14:paraId="369F8FDF">
      <w:pPr>
        <w:pStyle w:val="11"/>
        <w:spacing w:line="283" w:lineRule="auto"/>
        <w:rPr>
          <w:color w:val="auto"/>
          <w:sz w:val="24"/>
          <w:szCs w:val="24"/>
        </w:rPr>
      </w:pPr>
    </w:p>
    <w:p w14:paraId="70E26432">
      <w:pPr>
        <w:pStyle w:val="11"/>
        <w:spacing w:line="283" w:lineRule="auto"/>
        <w:rPr>
          <w:color w:val="auto"/>
          <w:sz w:val="24"/>
          <w:szCs w:val="24"/>
        </w:rPr>
      </w:pPr>
    </w:p>
    <w:p w14:paraId="6C3C2374">
      <w:pPr>
        <w:pStyle w:val="11"/>
        <w:spacing w:line="284" w:lineRule="auto"/>
        <w:rPr>
          <w:color w:val="auto"/>
          <w:sz w:val="24"/>
          <w:szCs w:val="24"/>
        </w:rPr>
      </w:pPr>
    </w:p>
    <w:p w14:paraId="2EC950EE">
      <w:pPr>
        <w:spacing w:before="65" w:line="227" w:lineRule="auto"/>
        <w:ind w:left="4869"/>
        <w:rPr>
          <w:rFonts w:ascii="宋体" w:hAnsi="宋体" w:eastAsia="宋体" w:cs="宋体"/>
          <w:color w:val="auto"/>
          <w:sz w:val="24"/>
          <w:szCs w:val="24"/>
        </w:rPr>
      </w:pPr>
      <w:r>
        <w:rPr>
          <w:rFonts w:ascii="宋体" w:hAnsi="宋体" w:eastAsia="宋体" w:cs="宋体"/>
          <w:b/>
          <w:bCs/>
          <w:color w:val="auto"/>
          <w:spacing w:val="3"/>
          <w:sz w:val="24"/>
          <w:szCs w:val="24"/>
        </w:rPr>
        <w:t>供应商公章：</w:t>
      </w:r>
      <w:r>
        <w:rPr>
          <w:rFonts w:ascii="宋体" w:hAnsi="宋体" w:eastAsia="宋体" w:cs="宋体"/>
          <w:color w:val="auto"/>
          <w:spacing w:val="3"/>
          <w:sz w:val="24"/>
          <w:szCs w:val="24"/>
        </w:rPr>
        <w:t xml:space="preserve"> </w:t>
      </w:r>
      <w:r>
        <w:rPr>
          <w:rFonts w:ascii="宋体" w:hAnsi="宋体" w:eastAsia="宋体" w:cs="宋体"/>
          <w:color w:val="auto"/>
          <w:sz w:val="24"/>
          <w:szCs w:val="24"/>
          <w:u w:val="single" w:color="auto"/>
        </w:rPr>
        <w:t xml:space="preserve">                                 </w:t>
      </w:r>
    </w:p>
    <w:p w14:paraId="1E24FAB2">
      <w:pPr>
        <w:pStyle w:val="11"/>
        <w:spacing w:line="286" w:lineRule="auto"/>
        <w:rPr>
          <w:color w:val="auto"/>
          <w:sz w:val="24"/>
          <w:szCs w:val="24"/>
        </w:rPr>
      </w:pPr>
    </w:p>
    <w:p w14:paraId="64DC8C34">
      <w:pPr>
        <w:pStyle w:val="11"/>
        <w:spacing w:line="287" w:lineRule="auto"/>
        <w:rPr>
          <w:color w:val="auto"/>
          <w:sz w:val="24"/>
          <w:szCs w:val="24"/>
        </w:rPr>
      </w:pPr>
    </w:p>
    <w:p w14:paraId="143F022E">
      <w:pPr>
        <w:spacing w:before="65" w:line="228" w:lineRule="auto"/>
        <w:ind w:left="4869"/>
        <w:rPr>
          <w:rFonts w:ascii="宋体" w:hAnsi="宋体" w:eastAsia="宋体" w:cs="宋体"/>
          <w:color w:val="auto"/>
          <w:sz w:val="24"/>
          <w:szCs w:val="24"/>
        </w:rPr>
      </w:pPr>
      <w:r>
        <w:rPr>
          <w:rFonts w:ascii="宋体" w:hAnsi="宋体" w:eastAsia="宋体" w:cs="宋体"/>
          <w:b/>
          <w:bCs/>
          <w:color w:val="auto"/>
          <w:spacing w:val="5"/>
          <w:sz w:val="24"/>
          <w:szCs w:val="24"/>
        </w:rPr>
        <w:t>法定代表人或委托代理人(签字)</w:t>
      </w:r>
      <w:r>
        <w:rPr>
          <w:rFonts w:ascii="宋体" w:hAnsi="宋体" w:eastAsia="宋体" w:cs="宋体"/>
          <w:color w:val="auto"/>
          <w:spacing w:val="5"/>
          <w:sz w:val="24"/>
          <w:szCs w:val="24"/>
        </w:rPr>
        <w:t>：</w:t>
      </w:r>
      <w:r>
        <w:rPr>
          <w:rFonts w:ascii="宋体" w:hAnsi="宋体" w:eastAsia="宋体" w:cs="宋体"/>
          <w:color w:val="auto"/>
          <w:sz w:val="24"/>
          <w:szCs w:val="24"/>
          <w:u w:val="single" w:color="auto"/>
        </w:rPr>
        <w:t xml:space="preserve">               </w:t>
      </w:r>
    </w:p>
    <w:p w14:paraId="3E46908E">
      <w:pPr>
        <w:pStyle w:val="11"/>
        <w:spacing w:line="329" w:lineRule="auto"/>
        <w:rPr>
          <w:color w:val="auto"/>
          <w:sz w:val="24"/>
          <w:szCs w:val="24"/>
        </w:rPr>
      </w:pPr>
    </w:p>
    <w:p w14:paraId="7884A7A2">
      <w:pPr>
        <w:pStyle w:val="11"/>
        <w:spacing w:line="329" w:lineRule="auto"/>
        <w:rPr>
          <w:color w:val="auto"/>
          <w:sz w:val="24"/>
          <w:szCs w:val="24"/>
        </w:rPr>
      </w:pPr>
    </w:p>
    <w:p w14:paraId="44BCE442">
      <w:pPr>
        <w:tabs>
          <w:tab w:val="left" w:pos="7875"/>
        </w:tabs>
        <w:spacing w:before="65" w:line="228" w:lineRule="auto"/>
        <w:ind w:left="0" w:firstLine="4956" w:firstLineChars="2100"/>
        <w:rPr>
          <w:rFonts w:ascii="宋体" w:hAnsi="宋体" w:eastAsia="宋体" w:cs="宋体"/>
          <w:color w:val="auto"/>
          <w:sz w:val="24"/>
          <w:szCs w:val="24"/>
          <w:u w:val="none" w:color="auto"/>
        </w:rPr>
      </w:pPr>
      <w:r>
        <w:rPr>
          <w:rFonts w:hint="eastAsia" w:cs="宋体"/>
          <w:color w:val="auto"/>
          <w:spacing w:val="-2"/>
          <w:sz w:val="24"/>
          <w:szCs w:val="24"/>
          <w:u w:val="single" w:color="auto"/>
          <w:lang w:val="en-US" w:eastAsia="zh-CN"/>
        </w:rPr>
        <w:t xml:space="preserve">         </w:t>
      </w:r>
      <w:r>
        <w:rPr>
          <w:rFonts w:ascii="宋体" w:hAnsi="宋体" w:eastAsia="宋体" w:cs="宋体"/>
          <w:color w:val="auto"/>
          <w:spacing w:val="-2"/>
          <w:sz w:val="24"/>
          <w:szCs w:val="24"/>
          <w:u w:val="none" w:color="auto"/>
        </w:rPr>
        <w:t>年</w:t>
      </w:r>
      <w:r>
        <w:rPr>
          <w:rFonts w:ascii="宋体" w:hAnsi="宋体" w:eastAsia="宋体" w:cs="宋体"/>
          <w:color w:val="auto"/>
          <w:spacing w:val="-98"/>
          <w:sz w:val="24"/>
          <w:szCs w:val="24"/>
          <w:u w:val="single" w:color="auto"/>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u w:val="single" w:color="auto"/>
        </w:rPr>
        <w:t xml:space="preserve"> </w:t>
      </w:r>
      <w:r>
        <w:rPr>
          <w:rFonts w:ascii="宋体" w:hAnsi="宋体" w:eastAsia="宋体" w:cs="宋体"/>
          <w:color w:val="auto"/>
          <w:spacing w:val="-2"/>
          <w:sz w:val="24"/>
          <w:szCs w:val="24"/>
          <w:u w:val="none" w:color="auto"/>
        </w:rPr>
        <w:t>月</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55"/>
          <w:sz w:val="24"/>
          <w:szCs w:val="24"/>
          <w:u w:val="single" w:color="auto"/>
        </w:rPr>
        <w:t xml:space="preserve"> </w:t>
      </w:r>
      <w:r>
        <w:rPr>
          <w:rFonts w:ascii="宋体" w:hAnsi="宋体" w:eastAsia="宋体" w:cs="宋体"/>
          <w:color w:val="auto"/>
          <w:spacing w:val="-2"/>
          <w:sz w:val="24"/>
          <w:szCs w:val="24"/>
          <w:u w:val="none" w:color="auto"/>
        </w:rPr>
        <w:t>日</w:t>
      </w:r>
    </w:p>
    <w:p w14:paraId="1C18F860">
      <w:pPr>
        <w:bidi w:val="0"/>
        <w:rPr>
          <w:color w:val="auto"/>
        </w:rPr>
      </w:pPr>
      <w:r>
        <w:rPr>
          <w:color w:val="auto"/>
        </w:rPr>
        <w:br w:type="page"/>
      </w:r>
    </w:p>
    <w:p w14:paraId="65B70A0E">
      <w:pPr>
        <w:spacing w:line="360" w:lineRule="auto"/>
        <w:rPr>
          <w:rFonts w:hint="eastAsia" w:eastAsia="宋体"/>
          <w:b w:val="0"/>
          <w:bCs/>
          <w:color w:val="auto"/>
          <w:szCs w:val="21"/>
          <w:highlight w:val="none"/>
          <w:lang w:eastAsia="zh-CN"/>
        </w:rPr>
      </w:pPr>
      <w:r>
        <w:rPr>
          <w:rFonts w:hint="eastAsia"/>
          <w:b w:val="0"/>
          <w:bCs/>
          <w:color w:val="auto"/>
          <w:szCs w:val="21"/>
          <w:highlight w:val="none"/>
        </w:rPr>
        <w:t>附件</w:t>
      </w:r>
      <w:r>
        <w:rPr>
          <w:rFonts w:hint="eastAsia"/>
          <w:b w:val="0"/>
          <w:bCs/>
          <w:color w:val="auto"/>
          <w:szCs w:val="21"/>
          <w:highlight w:val="none"/>
          <w:lang w:val="en-US" w:eastAsia="zh-CN"/>
        </w:rPr>
        <w:t>7</w:t>
      </w:r>
    </w:p>
    <w:p w14:paraId="55430C4A">
      <w:pPr>
        <w:spacing w:before="139" w:line="225" w:lineRule="auto"/>
        <w:ind w:left="3292"/>
        <w:rPr>
          <w:rFonts w:ascii="宋体" w:hAnsi="宋体" w:eastAsia="宋体" w:cs="宋体"/>
          <w:color w:val="auto"/>
          <w:sz w:val="31"/>
          <w:szCs w:val="31"/>
        </w:rPr>
      </w:pPr>
      <w:r>
        <w:rPr>
          <w:rFonts w:ascii="宋体" w:hAnsi="宋体" w:eastAsia="宋体" w:cs="宋体"/>
          <w:b/>
          <w:bCs/>
          <w:color w:val="auto"/>
          <w:spacing w:val="6"/>
          <w:sz w:val="31"/>
          <w:szCs w:val="31"/>
        </w:rPr>
        <w:t>无串通竞标行为的承诺函</w:t>
      </w:r>
    </w:p>
    <w:p w14:paraId="5CE6E9D5">
      <w:pPr>
        <w:pStyle w:val="11"/>
        <w:spacing w:line="472" w:lineRule="auto"/>
        <w:rPr>
          <w:color w:val="auto"/>
        </w:rPr>
      </w:pPr>
    </w:p>
    <w:p w14:paraId="066B4B8D">
      <w:pPr>
        <w:spacing w:before="65" w:line="240" w:lineRule="auto"/>
        <w:ind w:left="430"/>
        <w:rPr>
          <w:rFonts w:ascii="宋体" w:hAnsi="宋体" w:eastAsia="宋体" w:cs="宋体"/>
          <w:color w:val="auto"/>
          <w:sz w:val="24"/>
          <w:szCs w:val="24"/>
        </w:rPr>
      </w:pPr>
      <w:r>
        <w:rPr>
          <w:rFonts w:ascii="宋体" w:hAnsi="宋体" w:eastAsia="宋体" w:cs="宋体"/>
          <w:b/>
          <w:bCs/>
          <w:color w:val="auto"/>
          <w:spacing w:val="7"/>
          <w:sz w:val="24"/>
          <w:szCs w:val="24"/>
        </w:rPr>
        <w:t>一、我方承诺无下列相互串通竞标的情形：</w:t>
      </w:r>
    </w:p>
    <w:p w14:paraId="2BE24D8A">
      <w:pPr>
        <w:spacing w:before="153" w:line="240" w:lineRule="auto"/>
        <w:ind w:left="429" w:right="279" w:firstLine="12"/>
        <w:rPr>
          <w:rFonts w:ascii="宋体" w:hAnsi="宋体" w:eastAsia="宋体" w:cs="宋体"/>
          <w:color w:val="auto"/>
          <w:sz w:val="24"/>
          <w:szCs w:val="24"/>
        </w:rPr>
      </w:pPr>
      <w:r>
        <w:rPr>
          <w:rFonts w:ascii="宋体" w:hAnsi="宋体" w:eastAsia="宋体" w:cs="宋体"/>
          <w:color w:val="auto"/>
          <w:spacing w:val="7"/>
          <w:sz w:val="24"/>
          <w:szCs w:val="24"/>
        </w:rPr>
        <w:t>1.不同供应商的响应文件由同一单位或者个人编制；或不同供应商报名的</w:t>
      </w:r>
      <w:r>
        <w:rPr>
          <w:rFonts w:ascii="宋体" w:hAnsi="宋体" w:eastAsia="宋体" w:cs="宋体"/>
          <w:color w:val="auto"/>
          <w:sz w:val="24"/>
          <w:szCs w:val="24"/>
        </w:rPr>
        <w:t>IP</w:t>
      </w:r>
      <w:r>
        <w:rPr>
          <w:rFonts w:ascii="宋体" w:hAnsi="宋体" w:eastAsia="宋体" w:cs="宋体"/>
          <w:color w:val="auto"/>
          <w:spacing w:val="-38"/>
          <w:sz w:val="24"/>
          <w:szCs w:val="24"/>
        </w:rPr>
        <w:t xml:space="preserve"> </w:t>
      </w:r>
      <w:r>
        <w:rPr>
          <w:rFonts w:ascii="宋体" w:hAnsi="宋体" w:eastAsia="宋体" w:cs="宋体"/>
          <w:color w:val="auto"/>
          <w:spacing w:val="7"/>
          <w:sz w:val="24"/>
          <w:szCs w:val="24"/>
        </w:rPr>
        <w:t>地址一致的；</w:t>
      </w:r>
      <w:r>
        <w:rPr>
          <w:rFonts w:ascii="宋体" w:hAnsi="宋体" w:eastAsia="宋体" w:cs="宋体"/>
          <w:color w:val="auto"/>
          <w:sz w:val="24"/>
          <w:szCs w:val="24"/>
        </w:rPr>
        <w:t xml:space="preserve"> </w:t>
      </w:r>
    </w:p>
    <w:p w14:paraId="1D3257B2">
      <w:pPr>
        <w:spacing w:before="153" w:line="240" w:lineRule="auto"/>
        <w:ind w:left="429" w:right="858" w:firstLine="12"/>
        <w:rPr>
          <w:rFonts w:ascii="宋体" w:hAnsi="宋体" w:eastAsia="宋体" w:cs="宋体"/>
          <w:color w:val="auto"/>
          <w:sz w:val="24"/>
          <w:szCs w:val="24"/>
        </w:rPr>
      </w:pPr>
      <w:r>
        <w:rPr>
          <w:rFonts w:ascii="宋体" w:hAnsi="宋体" w:eastAsia="宋体" w:cs="宋体"/>
          <w:color w:val="auto"/>
          <w:spacing w:val="8"/>
          <w:sz w:val="24"/>
          <w:szCs w:val="24"/>
        </w:rPr>
        <w:t>2.不同供应商委托同一单位或者个人办理竞标事宜；</w:t>
      </w:r>
    </w:p>
    <w:p w14:paraId="1E172930">
      <w:pPr>
        <w:spacing w:before="34" w:line="240" w:lineRule="auto"/>
        <w:ind w:left="426" w:right="279" w:firstLine="5"/>
        <w:rPr>
          <w:rFonts w:ascii="宋体" w:hAnsi="宋体" w:eastAsia="宋体" w:cs="宋体"/>
          <w:color w:val="auto"/>
          <w:spacing w:val="9"/>
          <w:sz w:val="24"/>
          <w:szCs w:val="24"/>
        </w:rPr>
      </w:pPr>
      <w:r>
        <w:rPr>
          <w:rFonts w:ascii="宋体" w:hAnsi="宋体" w:eastAsia="宋体" w:cs="宋体"/>
          <w:color w:val="auto"/>
          <w:spacing w:val="8"/>
          <w:sz w:val="24"/>
          <w:szCs w:val="24"/>
        </w:rPr>
        <w:t>3.不同供应商的响应文件载明的项目管理员为同一个人；</w:t>
      </w:r>
      <w:r>
        <w:rPr>
          <w:rFonts w:ascii="宋体" w:hAnsi="宋体" w:eastAsia="宋体" w:cs="宋体"/>
          <w:color w:val="auto"/>
          <w:spacing w:val="9"/>
          <w:sz w:val="24"/>
          <w:szCs w:val="24"/>
        </w:rPr>
        <w:t xml:space="preserve">  </w:t>
      </w:r>
    </w:p>
    <w:p w14:paraId="1D2144B7">
      <w:pPr>
        <w:spacing w:before="34" w:line="240" w:lineRule="auto"/>
        <w:ind w:left="426" w:right="279" w:firstLine="5"/>
        <w:rPr>
          <w:rFonts w:ascii="宋体" w:hAnsi="宋体" w:eastAsia="宋体" w:cs="宋体"/>
          <w:color w:val="auto"/>
          <w:spacing w:val="3"/>
          <w:sz w:val="24"/>
          <w:szCs w:val="24"/>
        </w:rPr>
      </w:pPr>
      <w:r>
        <w:rPr>
          <w:rFonts w:ascii="宋体" w:hAnsi="宋体" w:eastAsia="宋体" w:cs="宋体"/>
          <w:color w:val="auto"/>
          <w:spacing w:val="-3"/>
          <w:sz w:val="24"/>
          <w:szCs w:val="24"/>
        </w:rPr>
        <w:t>4.不同供应商的响应文件异常一致或竞标报价呈规律性差异；</w:t>
      </w:r>
      <w:r>
        <w:rPr>
          <w:rFonts w:ascii="宋体" w:hAnsi="宋体" w:eastAsia="宋体" w:cs="宋体"/>
          <w:color w:val="auto"/>
          <w:spacing w:val="3"/>
          <w:sz w:val="24"/>
          <w:szCs w:val="24"/>
        </w:rPr>
        <w:t xml:space="preserve"> </w:t>
      </w:r>
    </w:p>
    <w:p w14:paraId="524440D0">
      <w:pPr>
        <w:spacing w:before="34" w:line="240" w:lineRule="auto"/>
        <w:ind w:left="426" w:right="279" w:firstLine="5"/>
        <w:rPr>
          <w:rFonts w:ascii="宋体" w:hAnsi="宋体" w:eastAsia="宋体" w:cs="宋体"/>
          <w:color w:val="auto"/>
          <w:sz w:val="24"/>
          <w:szCs w:val="24"/>
        </w:rPr>
      </w:pPr>
      <w:r>
        <w:rPr>
          <w:rFonts w:ascii="宋体" w:hAnsi="宋体" w:eastAsia="宋体" w:cs="宋体"/>
          <w:color w:val="auto"/>
          <w:spacing w:val="8"/>
          <w:sz w:val="24"/>
          <w:szCs w:val="24"/>
        </w:rPr>
        <w:t>5.不同供应商的响应文件相互混装；</w:t>
      </w:r>
    </w:p>
    <w:p w14:paraId="606748E2">
      <w:pPr>
        <w:spacing w:before="33" w:line="240" w:lineRule="auto"/>
        <w:ind w:left="428"/>
        <w:rPr>
          <w:rFonts w:ascii="宋体" w:hAnsi="宋体" w:eastAsia="宋体" w:cs="宋体"/>
          <w:color w:val="auto"/>
          <w:sz w:val="24"/>
          <w:szCs w:val="24"/>
        </w:rPr>
      </w:pPr>
      <w:r>
        <w:rPr>
          <w:rFonts w:ascii="宋体" w:hAnsi="宋体" w:eastAsia="宋体" w:cs="宋体"/>
          <w:color w:val="auto"/>
          <w:spacing w:val="9"/>
          <w:sz w:val="24"/>
          <w:szCs w:val="24"/>
        </w:rPr>
        <w:t>6.不同供应商的磋商保证金从同一单位或者个人</w:t>
      </w:r>
      <w:r>
        <w:rPr>
          <w:rFonts w:ascii="宋体" w:hAnsi="宋体" w:eastAsia="宋体" w:cs="宋体"/>
          <w:color w:val="auto"/>
          <w:spacing w:val="8"/>
          <w:sz w:val="24"/>
          <w:szCs w:val="24"/>
        </w:rPr>
        <w:t>账户转出。</w:t>
      </w:r>
    </w:p>
    <w:p w14:paraId="32F1DE01">
      <w:pPr>
        <w:spacing w:before="154" w:line="240" w:lineRule="auto"/>
        <w:ind w:left="430"/>
        <w:rPr>
          <w:rFonts w:ascii="宋体" w:hAnsi="宋体" w:eastAsia="宋体" w:cs="宋体"/>
          <w:color w:val="auto"/>
          <w:sz w:val="24"/>
          <w:szCs w:val="24"/>
        </w:rPr>
      </w:pPr>
      <w:r>
        <w:rPr>
          <w:rFonts w:ascii="宋体" w:hAnsi="宋体" w:eastAsia="宋体" w:cs="宋体"/>
          <w:b/>
          <w:bCs/>
          <w:color w:val="auto"/>
          <w:spacing w:val="7"/>
          <w:sz w:val="24"/>
          <w:szCs w:val="24"/>
        </w:rPr>
        <w:t>二、我方承诺无下列恶意串通的情形：</w:t>
      </w:r>
    </w:p>
    <w:p w14:paraId="487CF3C6">
      <w:pPr>
        <w:spacing w:before="153" w:line="240" w:lineRule="auto"/>
        <w:ind w:left="6" w:right="68" w:firstLine="436"/>
        <w:rPr>
          <w:rFonts w:ascii="宋体" w:hAnsi="宋体" w:eastAsia="宋体" w:cs="宋体"/>
          <w:color w:val="auto"/>
          <w:sz w:val="24"/>
          <w:szCs w:val="24"/>
        </w:rPr>
      </w:pPr>
      <w:r>
        <w:rPr>
          <w:rFonts w:ascii="宋体" w:hAnsi="宋体" w:eastAsia="宋体" w:cs="宋体"/>
          <w:color w:val="auto"/>
          <w:spacing w:val="14"/>
          <w:sz w:val="24"/>
          <w:szCs w:val="24"/>
        </w:rPr>
        <w:t>1.供应商直接或者间接从采购人或者采购代理机构处获得其他供应商的相关信息并修改其响应文</w:t>
      </w:r>
      <w:r>
        <w:rPr>
          <w:rFonts w:ascii="宋体" w:hAnsi="宋体" w:eastAsia="宋体" w:cs="宋体"/>
          <w:color w:val="auto"/>
          <w:sz w:val="24"/>
          <w:szCs w:val="24"/>
        </w:rPr>
        <w:t>件；</w:t>
      </w:r>
    </w:p>
    <w:p w14:paraId="2D117F63">
      <w:pPr>
        <w:spacing w:before="31" w:line="240" w:lineRule="auto"/>
        <w:ind w:left="429"/>
        <w:rPr>
          <w:rFonts w:ascii="宋体" w:hAnsi="宋体" w:eastAsia="宋体" w:cs="宋体"/>
          <w:color w:val="auto"/>
          <w:sz w:val="24"/>
          <w:szCs w:val="24"/>
        </w:rPr>
      </w:pPr>
      <w:r>
        <w:rPr>
          <w:rFonts w:ascii="宋体" w:hAnsi="宋体" w:eastAsia="宋体" w:cs="宋体"/>
          <w:color w:val="auto"/>
          <w:spacing w:val="9"/>
          <w:sz w:val="24"/>
          <w:szCs w:val="24"/>
        </w:rPr>
        <w:t>2.供应商按照采购人或者采购代理机构的授意撤换、修改响应文</w:t>
      </w:r>
      <w:r>
        <w:rPr>
          <w:rFonts w:ascii="宋体" w:hAnsi="宋体" w:eastAsia="宋体" w:cs="宋体"/>
          <w:color w:val="auto"/>
          <w:spacing w:val="8"/>
          <w:sz w:val="24"/>
          <w:szCs w:val="24"/>
        </w:rPr>
        <w:t>件；</w:t>
      </w:r>
    </w:p>
    <w:p w14:paraId="510F9D92">
      <w:pPr>
        <w:spacing w:before="153" w:line="240" w:lineRule="auto"/>
        <w:ind w:left="431"/>
        <w:rPr>
          <w:rFonts w:ascii="宋体" w:hAnsi="宋体" w:eastAsia="宋体" w:cs="宋体"/>
          <w:color w:val="auto"/>
          <w:sz w:val="24"/>
          <w:szCs w:val="24"/>
        </w:rPr>
      </w:pPr>
      <w:r>
        <w:rPr>
          <w:rFonts w:ascii="宋体" w:hAnsi="宋体" w:eastAsia="宋体" w:cs="宋体"/>
          <w:color w:val="auto"/>
          <w:spacing w:val="-1"/>
          <w:sz w:val="24"/>
          <w:szCs w:val="24"/>
        </w:rPr>
        <w:t>3.供应商之间协商报价、技术方案等响应文件的实质</w:t>
      </w:r>
      <w:r>
        <w:rPr>
          <w:rFonts w:ascii="宋体" w:hAnsi="宋体" w:eastAsia="宋体" w:cs="宋体"/>
          <w:color w:val="auto"/>
          <w:spacing w:val="-2"/>
          <w:sz w:val="24"/>
          <w:szCs w:val="24"/>
        </w:rPr>
        <w:t>性内容；</w:t>
      </w:r>
    </w:p>
    <w:p w14:paraId="4732B359">
      <w:pPr>
        <w:spacing w:before="153" w:line="240" w:lineRule="auto"/>
        <w:ind w:left="6" w:right="68" w:firstLine="436"/>
        <w:rPr>
          <w:rFonts w:ascii="宋体" w:hAnsi="宋体" w:eastAsia="宋体" w:cs="宋体"/>
          <w:color w:val="auto"/>
          <w:sz w:val="24"/>
          <w:szCs w:val="24"/>
        </w:rPr>
      </w:pPr>
      <w:r>
        <w:rPr>
          <w:rFonts w:ascii="宋体" w:hAnsi="宋体" w:eastAsia="宋体" w:cs="宋体"/>
          <w:color w:val="auto"/>
          <w:spacing w:val="9"/>
          <w:sz w:val="24"/>
          <w:szCs w:val="24"/>
        </w:rPr>
        <w:t>4.属于同一集团、协会、商会等组织成员的供应商按照该组织要求协同参加采购活动；</w:t>
      </w:r>
    </w:p>
    <w:p w14:paraId="74C1B9DF">
      <w:pPr>
        <w:spacing w:before="156" w:line="240" w:lineRule="auto"/>
        <w:ind w:left="6" w:right="68" w:firstLine="424"/>
        <w:rPr>
          <w:rFonts w:ascii="宋体" w:hAnsi="宋体" w:eastAsia="宋体" w:cs="宋体"/>
          <w:color w:val="auto"/>
          <w:sz w:val="24"/>
          <w:szCs w:val="24"/>
        </w:rPr>
      </w:pPr>
      <w:r>
        <w:rPr>
          <w:rFonts w:ascii="宋体" w:hAnsi="宋体" w:eastAsia="宋体" w:cs="宋体"/>
          <w:color w:val="auto"/>
          <w:spacing w:val="10"/>
          <w:sz w:val="24"/>
          <w:szCs w:val="24"/>
        </w:rPr>
        <w:t>5.供应商之间事先约定一致抬高或者压低竞标</w:t>
      </w:r>
      <w:r>
        <w:rPr>
          <w:rFonts w:ascii="宋体" w:hAnsi="宋体" w:eastAsia="宋体" w:cs="宋体"/>
          <w:color w:val="auto"/>
          <w:spacing w:val="9"/>
          <w:sz w:val="24"/>
          <w:szCs w:val="24"/>
        </w:rPr>
        <w:t>报价，或者在竞争性磋商项目中事先约定轮流以高价</w:t>
      </w:r>
      <w:r>
        <w:rPr>
          <w:rFonts w:ascii="宋体" w:hAnsi="宋体" w:eastAsia="宋体" w:cs="宋体"/>
          <w:color w:val="auto"/>
          <w:sz w:val="24"/>
          <w:szCs w:val="24"/>
        </w:rPr>
        <w:t xml:space="preserve"> </w:t>
      </w:r>
      <w:r>
        <w:rPr>
          <w:rFonts w:ascii="宋体" w:hAnsi="宋体" w:eastAsia="宋体" w:cs="宋体"/>
          <w:color w:val="auto"/>
          <w:spacing w:val="9"/>
          <w:sz w:val="24"/>
          <w:szCs w:val="24"/>
        </w:rPr>
        <w:t>位或者低价位成交，或者事先约定由某一特定供应商成交，然后再参加竞标；</w:t>
      </w:r>
    </w:p>
    <w:p w14:paraId="5258F4E5">
      <w:pPr>
        <w:spacing w:before="35" w:line="240" w:lineRule="auto"/>
        <w:ind w:left="428"/>
        <w:rPr>
          <w:rFonts w:ascii="宋体" w:hAnsi="宋体" w:eastAsia="宋体" w:cs="宋体"/>
          <w:color w:val="auto"/>
          <w:sz w:val="24"/>
          <w:szCs w:val="24"/>
        </w:rPr>
      </w:pPr>
      <w:r>
        <w:rPr>
          <w:rFonts w:ascii="宋体" w:hAnsi="宋体" w:eastAsia="宋体" w:cs="宋体"/>
          <w:color w:val="auto"/>
          <w:spacing w:val="9"/>
          <w:sz w:val="24"/>
          <w:szCs w:val="24"/>
        </w:rPr>
        <w:t>6.供应商之间商定部分供应商放弃参加采购活动或者放</w:t>
      </w:r>
      <w:r>
        <w:rPr>
          <w:rFonts w:ascii="宋体" w:hAnsi="宋体" w:eastAsia="宋体" w:cs="宋体"/>
          <w:color w:val="auto"/>
          <w:spacing w:val="8"/>
          <w:sz w:val="24"/>
          <w:szCs w:val="24"/>
        </w:rPr>
        <w:t>弃成交；</w:t>
      </w:r>
    </w:p>
    <w:p w14:paraId="5C97D5BE">
      <w:pPr>
        <w:spacing w:before="156" w:line="240" w:lineRule="auto"/>
        <w:ind w:left="6" w:right="58" w:firstLine="425"/>
        <w:rPr>
          <w:rFonts w:ascii="宋体" w:hAnsi="宋体" w:eastAsia="宋体" w:cs="宋体"/>
          <w:color w:val="auto"/>
          <w:sz w:val="24"/>
          <w:szCs w:val="24"/>
        </w:rPr>
      </w:pPr>
      <w:r>
        <w:rPr>
          <w:rFonts w:ascii="宋体" w:hAnsi="宋体" w:eastAsia="宋体" w:cs="宋体"/>
          <w:color w:val="auto"/>
          <w:spacing w:val="5"/>
          <w:sz w:val="24"/>
          <w:szCs w:val="24"/>
        </w:rPr>
        <w:t>7.供应商与采购人或者采购代理机构之间、供应商相互之间，为谋求特定供应商成交或者排斥其他供</w:t>
      </w:r>
      <w:r>
        <w:rPr>
          <w:rFonts w:ascii="宋体" w:hAnsi="宋体" w:eastAsia="宋体" w:cs="宋体"/>
          <w:color w:val="auto"/>
          <w:spacing w:val="1"/>
          <w:sz w:val="24"/>
          <w:szCs w:val="24"/>
        </w:rPr>
        <w:t xml:space="preserve"> </w:t>
      </w:r>
      <w:r>
        <w:rPr>
          <w:rFonts w:ascii="宋体" w:hAnsi="宋体" w:eastAsia="宋体" w:cs="宋体"/>
          <w:color w:val="auto"/>
          <w:spacing w:val="-2"/>
          <w:sz w:val="24"/>
          <w:szCs w:val="24"/>
        </w:rPr>
        <w:t>应商的其他串通行为。</w:t>
      </w:r>
    </w:p>
    <w:p w14:paraId="686ACA1D">
      <w:pPr>
        <w:pStyle w:val="11"/>
        <w:spacing w:line="240" w:lineRule="auto"/>
        <w:rPr>
          <w:color w:val="auto"/>
          <w:sz w:val="24"/>
          <w:szCs w:val="24"/>
        </w:rPr>
      </w:pPr>
    </w:p>
    <w:p w14:paraId="57E99174">
      <w:pPr>
        <w:spacing w:before="66" w:line="240" w:lineRule="auto"/>
        <w:jc w:val="right"/>
        <w:rPr>
          <w:rFonts w:hint="eastAsia" w:ascii="宋体" w:hAnsi="宋体" w:eastAsia="宋体" w:cs="宋体"/>
          <w:b/>
          <w:bCs/>
          <w:color w:val="auto"/>
          <w:spacing w:val="4"/>
          <w:sz w:val="24"/>
          <w:szCs w:val="24"/>
          <w:lang w:val="en-US"/>
        </w:rPr>
      </w:pPr>
      <w:r>
        <w:rPr>
          <w:rFonts w:hint="eastAsia" w:ascii="宋体" w:hAnsi="宋体" w:eastAsia="宋体" w:cs="宋体"/>
          <w:b/>
          <w:bCs/>
          <w:color w:val="auto"/>
          <w:spacing w:val="4"/>
          <w:sz w:val="24"/>
          <w:szCs w:val="24"/>
          <w:lang w:val="en-US" w:eastAsia="zh-CN"/>
        </w:rPr>
        <w:t xml:space="preserve">   </w:t>
      </w:r>
      <w:r>
        <w:rPr>
          <w:rFonts w:ascii="宋体" w:hAnsi="宋体" w:eastAsia="宋体" w:cs="宋体"/>
          <w:b/>
          <w:bCs/>
          <w:color w:val="auto"/>
          <w:spacing w:val="4"/>
          <w:sz w:val="24"/>
          <w:szCs w:val="24"/>
        </w:rPr>
        <w:t>以上情形一经核查属实，我方愿意承担一切后果，并不再寻求任何旨在减轻或免除</w:t>
      </w:r>
      <w:r>
        <w:rPr>
          <w:rFonts w:hint="eastAsia" w:ascii="宋体" w:hAnsi="宋体" w:eastAsia="宋体" w:cs="宋体"/>
          <w:b/>
          <w:bCs/>
          <w:color w:val="auto"/>
          <w:spacing w:val="4"/>
          <w:sz w:val="24"/>
          <w:szCs w:val="24"/>
          <w:lang w:val="en-US"/>
        </w:rPr>
        <w:t>法</w:t>
      </w:r>
    </w:p>
    <w:p w14:paraId="69FE8FFD">
      <w:pPr>
        <w:spacing w:before="66" w:line="240" w:lineRule="auto"/>
        <w:jc w:val="both"/>
        <w:rPr>
          <w:rFonts w:ascii="宋体" w:hAnsi="宋体" w:eastAsia="宋体" w:cs="宋体"/>
          <w:color w:val="auto"/>
          <w:sz w:val="24"/>
          <w:szCs w:val="24"/>
        </w:rPr>
      </w:pPr>
      <w:r>
        <w:rPr>
          <w:rFonts w:hint="eastAsia" w:ascii="宋体" w:hAnsi="宋体" w:eastAsia="宋体" w:cs="宋体"/>
          <w:b/>
          <w:bCs/>
          <w:color w:val="auto"/>
          <w:spacing w:val="4"/>
          <w:sz w:val="24"/>
          <w:szCs w:val="24"/>
          <w:lang w:val="en-US"/>
        </w:rPr>
        <w:t>律</w:t>
      </w:r>
      <w:r>
        <w:rPr>
          <w:rFonts w:ascii="宋体" w:hAnsi="宋体" w:eastAsia="宋体" w:cs="宋体"/>
          <w:b/>
          <w:bCs/>
          <w:color w:val="auto"/>
          <w:spacing w:val="4"/>
          <w:sz w:val="24"/>
          <w:szCs w:val="24"/>
        </w:rPr>
        <w:t>责任的辩</w:t>
      </w:r>
      <w:r>
        <w:rPr>
          <w:rFonts w:ascii="宋体" w:hAnsi="宋体" w:eastAsia="宋体" w:cs="宋体"/>
          <w:b/>
          <w:bCs/>
          <w:color w:val="auto"/>
          <w:spacing w:val="3"/>
          <w:sz w:val="24"/>
          <w:szCs w:val="24"/>
        </w:rPr>
        <w:t>解。</w:t>
      </w:r>
    </w:p>
    <w:p w14:paraId="6E0BA8AC">
      <w:pPr>
        <w:pStyle w:val="11"/>
        <w:spacing w:line="240" w:lineRule="auto"/>
        <w:rPr>
          <w:color w:val="auto"/>
          <w:sz w:val="24"/>
          <w:szCs w:val="24"/>
        </w:rPr>
      </w:pPr>
    </w:p>
    <w:p w14:paraId="717C89C0">
      <w:pPr>
        <w:pStyle w:val="11"/>
        <w:spacing w:line="240" w:lineRule="auto"/>
        <w:rPr>
          <w:color w:val="auto"/>
          <w:sz w:val="24"/>
          <w:szCs w:val="24"/>
        </w:rPr>
      </w:pPr>
    </w:p>
    <w:p w14:paraId="258E5916">
      <w:pPr>
        <w:pStyle w:val="11"/>
        <w:spacing w:line="240" w:lineRule="auto"/>
        <w:rPr>
          <w:color w:val="auto"/>
          <w:sz w:val="24"/>
          <w:szCs w:val="24"/>
        </w:rPr>
      </w:pPr>
    </w:p>
    <w:p w14:paraId="3FD98257">
      <w:pPr>
        <w:pStyle w:val="11"/>
        <w:spacing w:line="240" w:lineRule="auto"/>
        <w:rPr>
          <w:color w:val="auto"/>
          <w:sz w:val="24"/>
          <w:szCs w:val="24"/>
        </w:rPr>
      </w:pPr>
    </w:p>
    <w:p w14:paraId="21A5E6B0">
      <w:pPr>
        <w:pStyle w:val="11"/>
        <w:spacing w:line="240" w:lineRule="auto"/>
        <w:rPr>
          <w:color w:val="auto"/>
          <w:sz w:val="24"/>
          <w:szCs w:val="24"/>
        </w:rPr>
      </w:pPr>
    </w:p>
    <w:p w14:paraId="158370F9">
      <w:pPr>
        <w:spacing w:before="66" w:line="240" w:lineRule="auto"/>
        <w:ind w:left="5646"/>
        <w:rPr>
          <w:rFonts w:ascii="宋体" w:hAnsi="宋体" w:eastAsia="宋体" w:cs="宋体"/>
          <w:color w:val="auto"/>
          <w:sz w:val="24"/>
          <w:szCs w:val="24"/>
        </w:rPr>
      </w:pPr>
      <w:r>
        <w:rPr>
          <w:rFonts w:ascii="宋体" w:hAnsi="宋体" w:eastAsia="宋体" w:cs="宋体"/>
          <w:b/>
          <w:bCs/>
          <w:color w:val="auto"/>
          <w:spacing w:val="6"/>
          <w:sz w:val="24"/>
          <w:szCs w:val="24"/>
        </w:rPr>
        <w:t>供应商公章：</w:t>
      </w:r>
      <w:r>
        <w:rPr>
          <w:rFonts w:ascii="宋体" w:hAnsi="宋体" w:eastAsia="宋体" w:cs="宋体"/>
          <w:color w:val="auto"/>
          <w:sz w:val="24"/>
          <w:szCs w:val="24"/>
          <w:u w:val="single" w:color="auto"/>
        </w:rPr>
        <w:t xml:space="preserve">                          </w:t>
      </w:r>
    </w:p>
    <w:p w14:paraId="2C3B71C1">
      <w:pPr>
        <w:pStyle w:val="11"/>
        <w:spacing w:line="240" w:lineRule="auto"/>
        <w:rPr>
          <w:color w:val="auto"/>
          <w:sz w:val="24"/>
          <w:szCs w:val="24"/>
        </w:rPr>
      </w:pPr>
    </w:p>
    <w:p w14:paraId="6B43979E">
      <w:pPr>
        <w:pStyle w:val="11"/>
        <w:spacing w:line="240" w:lineRule="auto"/>
        <w:rPr>
          <w:color w:val="auto"/>
          <w:sz w:val="24"/>
          <w:szCs w:val="24"/>
        </w:rPr>
      </w:pPr>
    </w:p>
    <w:p w14:paraId="6F21A5F2">
      <w:pPr>
        <w:tabs>
          <w:tab w:val="left" w:pos="7875"/>
        </w:tabs>
        <w:spacing w:before="65" w:line="228" w:lineRule="auto"/>
        <w:ind w:left="0" w:firstLine="5664" w:firstLineChars="2400"/>
        <w:rPr>
          <w:rFonts w:ascii="宋体" w:hAnsi="宋体" w:eastAsia="宋体" w:cs="宋体"/>
          <w:color w:val="auto"/>
          <w:sz w:val="24"/>
          <w:szCs w:val="24"/>
          <w:u w:val="none" w:color="auto"/>
        </w:rPr>
      </w:pPr>
      <w:r>
        <w:rPr>
          <w:rFonts w:hint="eastAsia" w:cs="宋体"/>
          <w:color w:val="auto"/>
          <w:spacing w:val="-2"/>
          <w:sz w:val="24"/>
          <w:szCs w:val="24"/>
          <w:u w:val="single" w:color="auto"/>
          <w:lang w:val="en-US" w:eastAsia="zh-CN"/>
        </w:rPr>
        <w:t xml:space="preserve">         </w:t>
      </w:r>
      <w:r>
        <w:rPr>
          <w:rFonts w:ascii="宋体" w:hAnsi="宋体" w:eastAsia="宋体" w:cs="宋体"/>
          <w:color w:val="auto"/>
          <w:spacing w:val="-2"/>
          <w:sz w:val="24"/>
          <w:szCs w:val="24"/>
          <w:u w:val="none" w:color="auto"/>
        </w:rPr>
        <w:t>年</w:t>
      </w:r>
      <w:r>
        <w:rPr>
          <w:rFonts w:ascii="宋体" w:hAnsi="宋体" w:eastAsia="宋体" w:cs="宋体"/>
          <w:color w:val="auto"/>
          <w:spacing w:val="-98"/>
          <w:sz w:val="24"/>
          <w:szCs w:val="24"/>
          <w:u w:val="single" w:color="auto"/>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u w:val="single" w:color="auto"/>
        </w:rPr>
        <w:t xml:space="preserve"> </w:t>
      </w:r>
      <w:r>
        <w:rPr>
          <w:rFonts w:ascii="宋体" w:hAnsi="宋体" w:eastAsia="宋体" w:cs="宋体"/>
          <w:color w:val="auto"/>
          <w:spacing w:val="-2"/>
          <w:sz w:val="24"/>
          <w:szCs w:val="24"/>
          <w:u w:val="none" w:color="auto"/>
        </w:rPr>
        <w:t>月</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55"/>
          <w:sz w:val="24"/>
          <w:szCs w:val="24"/>
          <w:u w:val="single" w:color="auto"/>
        </w:rPr>
        <w:t xml:space="preserve"> </w:t>
      </w:r>
      <w:r>
        <w:rPr>
          <w:rFonts w:ascii="宋体" w:hAnsi="宋体" w:eastAsia="宋体" w:cs="宋体"/>
          <w:color w:val="auto"/>
          <w:spacing w:val="-2"/>
          <w:sz w:val="24"/>
          <w:szCs w:val="24"/>
          <w:u w:val="none" w:color="auto"/>
        </w:rPr>
        <w:t>日</w:t>
      </w:r>
    </w:p>
    <w:p w14:paraId="59872891">
      <w:pPr>
        <w:spacing w:line="240" w:lineRule="auto"/>
        <w:rPr>
          <w:rFonts w:ascii="宋体" w:hAnsi="宋体" w:eastAsia="宋体" w:cs="宋体"/>
          <w:color w:val="auto"/>
          <w:sz w:val="24"/>
          <w:szCs w:val="24"/>
        </w:rPr>
        <w:sectPr>
          <w:headerReference r:id="rId8" w:type="default"/>
          <w:footerReference r:id="rId9" w:type="default"/>
          <w:pgSz w:w="11906" w:h="16839"/>
          <w:pgMar w:top="1299" w:right="1253" w:bottom="1180" w:left="1134" w:header="971" w:footer="1018" w:gutter="0"/>
          <w:pgNumType w:fmt="decimal"/>
          <w:cols w:space="720" w:num="1"/>
        </w:sectPr>
      </w:pPr>
    </w:p>
    <w:p w14:paraId="28220E90">
      <w:pPr>
        <w:spacing w:line="360" w:lineRule="auto"/>
        <w:rPr>
          <w:rFonts w:hint="eastAsia" w:eastAsia="宋体"/>
          <w:b w:val="0"/>
          <w:bCs/>
          <w:color w:val="auto"/>
          <w:szCs w:val="21"/>
          <w:highlight w:val="none"/>
          <w:lang w:eastAsia="zh-CN"/>
        </w:rPr>
      </w:pPr>
      <w:r>
        <w:rPr>
          <w:rFonts w:hint="eastAsia"/>
          <w:b w:val="0"/>
          <w:bCs/>
          <w:color w:val="auto"/>
          <w:szCs w:val="21"/>
          <w:highlight w:val="none"/>
        </w:rPr>
        <w:t>附件</w:t>
      </w:r>
      <w:r>
        <w:rPr>
          <w:rFonts w:hint="eastAsia"/>
          <w:b w:val="0"/>
          <w:bCs/>
          <w:color w:val="auto"/>
          <w:szCs w:val="21"/>
          <w:highlight w:val="none"/>
          <w:lang w:val="en-US" w:eastAsia="zh-CN"/>
        </w:rPr>
        <w:t>8</w:t>
      </w:r>
    </w:p>
    <w:p w14:paraId="02F3BD14">
      <w:pPr>
        <w:pStyle w:val="5"/>
        <w:spacing w:line="360" w:lineRule="auto"/>
        <w:rPr>
          <w:color w:val="auto"/>
          <w:highlight w:val="none"/>
        </w:rPr>
      </w:pPr>
      <w:r>
        <w:rPr>
          <w:rFonts w:hint="eastAsia"/>
          <w:color w:val="auto"/>
          <w:highlight w:val="none"/>
        </w:rPr>
        <w:t>商务、服务（技术）响应、偏离情况说明表</w:t>
      </w:r>
    </w:p>
    <w:p w14:paraId="5CF879FA">
      <w:pPr>
        <w:spacing w:line="360" w:lineRule="auto"/>
        <w:rPr>
          <w:color w:val="auto"/>
          <w:szCs w:val="21"/>
          <w:highlight w:val="none"/>
        </w:rPr>
      </w:pPr>
    </w:p>
    <w:p w14:paraId="389E99CB">
      <w:pPr>
        <w:spacing w:line="360" w:lineRule="auto"/>
        <w:rPr>
          <w:rFonts w:hint="default" w:eastAsia="宋体"/>
          <w:color w:val="auto"/>
          <w:szCs w:val="21"/>
          <w:highlight w:val="none"/>
          <w:u w:val="single"/>
          <w:lang w:val="en-US" w:eastAsia="zh-CN"/>
        </w:rPr>
      </w:pPr>
      <w:r>
        <w:rPr>
          <w:rFonts w:hint="eastAsia"/>
          <w:color w:val="auto"/>
          <w:szCs w:val="21"/>
          <w:highlight w:val="none"/>
        </w:rPr>
        <w:t>项目名称:</w:t>
      </w:r>
      <w:r>
        <w:rPr>
          <w:rFonts w:hint="eastAsia"/>
          <w:color w:val="auto"/>
          <w:szCs w:val="21"/>
          <w:highlight w:val="none"/>
          <w:u w:val="single"/>
          <w:lang w:val="en-US" w:eastAsia="zh-CN"/>
        </w:rPr>
        <w:t xml:space="preserve">               </w:t>
      </w:r>
    </w:p>
    <w:p w14:paraId="25F5DFCB">
      <w:pPr>
        <w:spacing w:line="360" w:lineRule="auto"/>
        <w:rPr>
          <w:rFonts w:hint="default" w:eastAsia="宋体"/>
          <w:color w:val="auto"/>
          <w:szCs w:val="21"/>
          <w:highlight w:val="none"/>
          <w:u w:val="single"/>
          <w:lang w:val="en-US" w:eastAsia="zh-CN"/>
        </w:rPr>
      </w:pPr>
      <w:r>
        <w:rPr>
          <w:rFonts w:hint="eastAsia"/>
          <w:color w:val="auto"/>
          <w:szCs w:val="21"/>
          <w:highlight w:val="none"/>
        </w:rPr>
        <w:t>项目编号:</w:t>
      </w:r>
      <w:r>
        <w:rPr>
          <w:rFonts w:hint="eastAsia"/>
          <w:color w:val="auto"/>
          <w:szCs w:val="21"/>
          <w:highlight w:val="none"/>
          <w:u w:val="single"/>
          <w:lang w:val="en-US" w:eastAsia="zh-CN"/>
        </w:rPr>
        <w:t xml:space="preserve">               </w:t>
      </w:r>
    </w:p>
    <w:p w14:paraId="0017A315">
      <w:pPr>
        <w:spacing w:line="360" w:lineRule="auto"/>
        <w:rPr>
          <w:color w:val="auto"/>
          <w:szCs w:val="21"/>
          <w:highlight w:val="none"/>
        </w:rPr>
      </w:pPr>
    </w:p>
    <w:tbl>
      <w:tblPr>
        <w:tblStyle w:val="25"/>
        <w:tblW w:w="918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6"/>
        <w:gridCol w:w="2809"/>
        <w:gridCol w:w="2945"/>
        <w:gridCol w:w="1464"/>
        <w:gridCol w:w="1361"/>
      </w:tblGrid>
      <w:tr w14:paraId="4AD35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4" w:space="0"/>
              <w:left w:val="single" w:color="auto" w:sz="4" w:space="0"/>
              <w:bottom w:val="single" w:color="auto" w:sz="6" w:space="0"/>
              <w:right w:val="single" w:color="auto" w:sz="6" w:space="0"/>
            </w:tcBorders>
            <w:vAlign w:val="center"/>
          </w:tcPr>
          <w:p w14:paraId="44D92C79">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 xml:space="preserve">                   序号</w:t>
            </w:r>
          </w:p>
        </w:tc>
        <w:tc>
          <w:tcPr>
            <w:tcW w:w="2809" w:type="dxa"/>
            <w:tcBorders>
              <w:top w:val="single" w:color="auto" w:sz="4" w:space="0"/>
              <w:left w:val="single" w:color="auto" w:sz="6" w:space="0"/>
              <w:bottom w:val="single" w:color="auto" w:sz="6" w:space="0"/>
              <w:right w:val="single" w:color="auto" w:sz="6" w:space="0"/>
            </w:tcBorders>
            <w:vAlign w:val="center"/>
          </w:tcPr>
          <w:p w14:paraId="52B2BDA9">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竞争性磋商文件要求</w:t>
            </w:r>
          </w:p>
        </w:tc>
        <w:tc>
          <w:tcPr>
            <w:tcW w:w="2945" w:type="dxa"/>
            <w:tcBorders>
              <w:top w:val="single" w:color="auto" w:sz="4" w:space="0"/>
              <w:left w:val="single" w:color="auto" w:sz="6" w:space="0"/>
              <w:bottom w:val="single" w:color="auto" w:sz="6" w:space="0"/>
              <w:right w:val="single" w:color="auto" w:sz="6" w:space="0"/>
            </w:tcBorders>
            <w:vAlign w:val="center"/>
          </w:tcPr>
          <w:p w14:paraId="5775DAC3">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竞争性磋商响应文件具体响应</w:t>
            </w:r>
          </w:p>
        </w:tc>
        <w:tc>
          <w:tcPr>
            <w:tcW w:w="1464" w:type="dxa"/>
            <w:tcBorders>
              <w:top w:val="single" w:color="auto" w:sz="4" w:space="0"/>
              <w:left w:val="single" w:color="auto" w:sz="6" w:space="0"/>
              <w:bottom w:val="single" w:color="auto" w:sz="6" w:space="0"/>
              <w:right w:val="single" w:color="auto" w:sz="6" w:space="0"/>
            </w:tcBorders>
            <w:vAlign w:val="center"/>
          </w:tcPr>
          <w:p w14:paraId="3A044045">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响应/偏离</w:t>
            </w:r>
          </w:p>
        </w:tc>
        <w:tc>
          <w:tcPr>
            <w:tcW w:w="1361" w:type="dxa"/>
            <w:tcBorders>
              <w:top w:val="single" w:color="auto" w:sz="4" w:space="0"/>
              <w:left w:val="single" w:color="auto" w:sz="6" w:space="0"/>
              <w:bottom w:val="single" w:color="auto" w:sz="6" w:space="0"/>
              <w:right w:val="single" w:color="auto" w:sz="4" w:space="0"/>
            </w:tcBorders>
            <w:vAlign w:val="center"/>
          </w:tcPr>
          <w:p w14:paraId="70A35470">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说明</w:t>
            </w:r>
          </w:p>
        </w:tc>
      </w:tr>
      <w:tr w14:paraId="749706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85" w:type="dxa"/>
            <w:gridSpan w:val="5"/>
            <w:tcBorders>
              <w:top w:val="single" w:color="auto" w:sz="6" w:space="0"/>
              <w:left w:val="single" w:color="auto" w:sz="4" w:space="0"/>
              <w:bottom w:val="single" w:color="auto" w:sz="6" w:space="0"/>
              <w:right w:val="single" w:color="auto" w:sz="4" w:space="0"/>
            </w:tcBorders>
            <w:vAlign w:val="center"/>
          </w:tcPr>
          <w:p w14:paraId="25A6BDC5">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商务部分</w:t>
            </w:r>
          </w:p>
        </w:tc>
      </w:tr>
      <w:tr w14:paraId="0647C2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5C8DFBD0">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1</w:t>
            </w:r>
          </w:p>
        </w:tc>
        <w:tc>
          <w:tcPr>
            <w:tcW w:w="2809" w:type="dxa"/>
            <w:tcBorders>
              <w:top w:val="single" w:color="auto" w:sz="6" w:space="0"/>
              <w:left w:val="single" w:color="auto" w:sz="6" w:space="0"/>
              <w:bottom w:val="single" w:color="auto" w:sz="6" w:space="0"/>
              <w:right w:val="single" w:color="auto" w:sz="6" w:space="0"/>
            </w:tcBorders>
            <w:vAlign w:val="center"/>
          </w:tcPr>
          <w:p w14:paraId="7A4F4C57">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2095952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09EA86FA">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616E7CB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41A353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62ABDC01">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2</w:t>
            </w:r>
          </w:p>
        </w:tc>
        <w:tc>
          <w:tcPr>
            <w:tcW w:w="2809" w:type="dxa"/>
            <w:tcBorders>
              <w:top w:val="single" w:color="auto" w:sz="6" w:space="0"/>
              <w:left w:val="single" w:color="auto" w:sz="6" w:space="0"/>
              <w:bottom w:val="single" w:color="auto" w:sz="6" w:space="0"/>
              <w:right w:val="single" w:color="auto" w:sz="6" w:space="0"/>
            </w:tcBorders>
            <w:vAlign w:val="center"/>
          </w:tcPr>
          <w:p w14:paraId="48BE16F9">
            <w:pPr>
              <w:adjustRightInd w:val="0"/>
              <w:snapToGrid w:val="0"/>
              <w:spacing w:before="0" w:beforeAutospacing="0" w:after="0" w:afterAutospacing="0" w:line="360" w:lineRule="auto"/>
              <w:ind w:left="0" w:right="0"/>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1D5C6CBA">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009C9635">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12734AB9">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52522A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7B16B043">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3</w:t>
            </w:r>
          </w:p>
        </w:tc>
        <w:tc>
          <w:tcPr>
            <w:tcW w:w="2809" w:type="dxa"/>
            <w:tcBorders>
              <w:top w:val="single" w:color="auto" w:sz="6" w:space="0"/>
              <w:left w:val="single" w:color="auto" w:sz="6" w:space="0"/>
              <w:bottom w:val="single" w:color="auto" w:sz="6" w:space="0"/>
              <w:right w:val="single" w:color="auto" w:sz="6" w:space="0"/>
            </w:tcBorders>
            <w:vAlign w:val="center"/>
          </w:tcPr>
          <w:p w14:paraId="68C8127F">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00D482B3">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1A0AAD7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793E7E31">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5E196D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5D5C3FEE">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w:t>
            </w:r>
          </w:p>
        </w:tc>
        <w:tc>
          <w:tcPr>
            <w:tcW w:w="2809" w:type="dxa"/>
            <w:tcBorders>
              <w:top w:val="single" w:color="auto" w:sz="6" w:space="0"/>
              <w:left w:val="single" w:color="auto" w:sz="6" w:space="0"/>
              <w:bottom w:val="single" w:color="auto" w:sz="6" w:space="0"/>
              <w:right w:val="single" w:color="auto" w:sz="6" w:space="0"/>
            </w:tcBorders>
            <w:vAlign w:val="center"/>
          </w:tcPr>
          <w:p w14:paraId="5A3317E7">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614073CC">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680F0E4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61BA0130">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63CD14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85" w:type="dxa"/>
            <w:gridSpan w:val="5"/>
            <w:tcBorders>
              <w:top w:val="single" w:color="auto" w:sz="6" w:space="0"/>
              <w:left w:val="single" w:color="auto" w:sz="4" w:space="0"/>
              <w:bottom w:val="single" w:color="auto" w:sz="6" w:space="0"/>
              <w:right w:val="single" w:color="auto" w:sz="4" w:space="0"/>
            </w:tcBorders>
            <w:vAlign w:val="center"/>
          </w:tcPr>
          <w:p w14:paraId="74B29876">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服务（技术）部分</w:t>
            </w:r>
          </w:p>
        </w:tc>
      </w:tr>
      <w:tr w14:paraId="62A036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3D72F63C">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1</w:t>
            </w:r>
          </w:p>
        </w:tc>
        <w:tc>
          <w:tcPr>
            <w:tcW w:w="2809" w:type="dxa"/>
            <w:tcBorders>
              <w:top w:val="single" w:color="auto" w:sz="6" w:space="0"/>
              <w:left w:val="single" w:color="auto" w:sz="6" w:space="0"/>
              <w:bottom w:val="single" w:color="auto" w:sz="6" w:space="0"/>
              <w:right w:val="single" w:color="auto" w:sz="6" w:space="0"/>
            </w:tcBorders>
            <w:vAlign w:val="center"/>
          </w:tcPr>
          <w:p w14:paraId="24D9D752">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1B9101E2">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5C22D402">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23F8958F">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20540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21868B9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2</w:t>
            </w:r>
          </w:p>
        </w:tc>
        <w:tc>
          <w:tcPr>
            <w:tcW w:w="2809" w:type="dxa"/>
            <w:tcBorders>
              <w:top w:val="single" w:color="auto" w:sz="6" w:space="0"/>
              <w:left w:val="single" w:color="auto" w:sz="6" w:space="0"/>
              <w:bottom w:val="single" w:color="auto" w:sz="6" w:space="0"/>
              <w:right w:val="single" w:color="auto" w:sz="6" w:space="0"/>
            </w:tcBorders>
            <w:vAlign w:val="center"/>
          </w:tcPr>
          <w:p w14:paraId="29C1DBB3">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1AB3BE35">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4C628EF1">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64CA5CBB">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141A3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3F61AFAF">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3</w:t>
            </w:r>
          </w:p>
        </w:tc>
        <w:tc>
          <w:tcPr>
            <w:tcW w:w="2809" w:type="dxa"/>
            <w:tcBorders>
              <w:top w:val="single" w:color="auto" w:sz="6" w:space="0"/>
              <w:left w:val="single" w:color="auto" w:sz="6" w:space="0"/>
              <w:bottom w:val="single" w:color="auto" w:sz="6" w:space="0"/>
              <w:right w:val="single" w:color="auto" w:sz="6" w:space="0"/>
            </w:tcBorders>
            <w:vAlign w:val="center"/>
          </w:tcPr>
          <w:p w14:paraId="6D27926D">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6" w:space="0"/>
              <w:right w:val="single" w:color="auto" w:sz="6" w:space="0"/>
            </w:tcBorders>
            <w:vAlign w:val="center"/>
          </w:tcPr>
          <w:p w14:paraId="409DE663">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6" w:space="0"/>
              <w:right w:val="single" w:color="auto" w:sz="6" w:space="0"/>
            </w:tcBorders>
            <w:vAlign w:val="center"/>
          </w:tcPr>
          <w:p w14:paraId="786BB8B5">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12D8533E">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r w14:paraId="74A629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606" w:type="dxa"/>
            <w:tcBorders>
              <w:top w:val="single" w:color="auto" w:sz="6" w:space="0"/>
              <w:left w:val="single" w:color="auto" w:sz="4" w:space="0"/>
              <w:bottom w:val="single" w:color="auto" w:sz="4" w:space="0"/>
              <w:right w:val="single" w:color="auto" w:sz="6" w:space="0"/>
            </w:tcBorders>
            <w:vAlign w:val="center"/>
          </w:tcPr>
          <w:p w14:paraId="30C813C1">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r>
              <w:rPr>
                <w:rFonts w:hint="eastAsia" w:ascii="Times New Roman" w:hAnsi="Times New Roman" w:eastAsia="Times New Roman" w:cs="Times New Roman"/>
                <w:color w:val="auto"/>
                <w:sz w:val="20"/>
                <w:szCs w:val="21"/>
                <w:highlight w:val="none"/>
              </w:rPr>
              <w:t>…</w:t>
            </w:r>
          </w:p>
        </w:tc>
        <w:tc>
          <w:tcPr>
            <w:tcW w:w="2809" w:type="dxa"/>
            <w:tcBorders>
              <w:top w:val="single" w:color="auto" w:sz="6" w:space="0"/>
              <w:left w:val="single" w:color="auto" w:sz="6" w:space="0"/>
              <w:bottom w:val="single" w:color="auto" w:sz="4" w:space="0"/>
              <w:right w:val="single" w:color="auto" w:sz="6" w:space="0"/>
            </w:tcBorders>
            <w:vAlign w:val="center"/>
          </w:tcPr>
          <w:p w14:paraId="759038E8">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2945" w:type="dxa"/>
            <w:tcBorders>
              <w:top w:val="single" w:color="auto" w:sz="6" w:space="0"/>
              <w:left w:val="single" w:color="auto" w:sz="6" w:space="0"/>
              <w:bottom w:val="single" w:color="auto" w:sz="4" w:space="0"/>
              <w:right w:val="single" w:color="auto" w:sz="6" w:space="0"/>
            </w:tcBorders>
            <w:vAlign w:val="center"/>
          </w:tcPr>
          <w:p w14:paraId="18E78058">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464" w:type="dxa"/>
            <w:tcBorders>
              <w:top w:val="single" w:color="auto" w:sz="6" w:space="0"/>
              <w:left w:val="single" w:color="auto" w:sz="6" w:space="0"/>
              <w:bottom w:val="single" w:color="auto" w:sz="4" w:space="0"/>
              <w:right w:val="single" w:color="auto" w:sz="4" w:space="0"/>
            </w:tcBorders>
            <w:vAlign w:val="center"/>
          </w:tcPr>
          <w:p w14:paraId="0F5EBC5E">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c>
          <w:tcPr>
            <w:tcW w:w="1361" w:type="dxa"/>
            <w:tcBorders>
              <w:top w:val="single" w:color="auto" w:sz="6" w:space="0"/>
              <w:left w:val="single" w:color="auto" w:sz="4" w:space="0"/>
              <w:bottom w:val="single" w:color="auto" w:sz="4" w:space="0"/>
              <w:right w:val="single" w:color="auto" w:sz="4" w:space="0"/>
            </w:tcBorders>
            <w:vAlign w:val="center"/>
          </w:tcPr>
          <w:p w14:paraId="2C211341">
            <w:pPr>
              <w:adjustRightInd w:val="0"/>
              <w:snapToGrid w:val="0"/>
              <w:spacing w:before="0" w:beforeAutospacing="0" w:after="0" w:afterAutospacing="0" w:line="360" w:lineRule="auto"/>
              <w:ind w:left="0" w:right="0"/>
              <w:jc w:val="center"/>
              <w:rPr>
                <w:rFonts w:hint="default" w:ascii="Times New Roman" w:hAnsi="Times New Roman" w:eastAsia="Times New Roman" w:cs="Times New Roman"/>
                <w:color w:val="auto"/>
                <w:sz w:val="20"/>
                <w:szCs w:val="21"/>
                <w:highlight w:val="none"/>
              </w:rPr>
            </w:pPr>
          </w:p>
        </w:tc>
      </w:tr>
    </w:tbl>
    <w:p w14:paraId="7665FB9A">
      <w:pPr>
        <w:spacing w:before="211" w:line="364" w:lineRule="auto"/>
        <w:ind w:left="74" w:right="250" w:firstLine="428"/>
        <w:rPr>
          <w:rFonts w:ascii="宋体" w:hAnsi="宋体" w:eastAsia="宋体" w:cs="宋体"/>
          <w:color w:val="auto"/>
          <w:sz w:val="20"/>
          <w:szCs w:val="20"/>
        </w:rPr>
      </w:pPr>
      <w:r>
        <w:rPr>
          <w:rFonts w:ascii="宋体" w:hAnsi="宋体" w:eastAsia="宋体" w:cs="宋体"/>
          <w:color w:val="auto"/>
          <w:spacing w:val="6"/>
          <w:sz w:val="20"/>
          <w:szCs w:val="20"/>
        </w:rPr>
        <w:t xml:space="preserve">1.供应商应对照竞争性磋商文件“第三章 </w:t>
      </w:r>
      <w:r>
        <w:rPr>
          <w:rFonts w:hint="eastAsia" w:ascii="宋体" w:hAnsi="宋体" w:eastAsia="宋体" w:cs="宋体"/>
          <w:color w:val="auto"/>
          <w:spacing w:val="6"/>
          <w:sz w:val="20"/>
          <w:szCs w:val="20"/>
          <w:lang w:val="en-US" w:eastAsia="zh-CN"/>
        </w:rPr>
        <w:t>服务采购</w:t>
      </w:r>
      <w:r>
        <w:rPr>
          <w:rFonts w:ascii="宋体" w:hAnsi="宋体" w:eastAsia="宋体" w:cs="宋体"/>
          <w:color w:val="auto"/>
          <w:spacing w:val="6"/>
          <w:sz w:val="20"/>
          <w:szCs w:val="20"/>
        </w:rPr>
        <w:t>需求</w:t>
      </w:r>
      <w:r>
        <w:rPr>
          <w:rFonts w:ascii="宋体" w:hAnsi="宋体" w:eastAsia="宋体" w:cs="宋体"/>
          <w:color w:val="auto"/>
          <w:spacing w:val="-66"/>
          <w:sz w:val="20"/>
          <w:szCs w:val="20"/>
        </w:rPr>
        <w:t xml:space="preserve"> </w:t>
      </w:r>
      <w:r>
        <w:rPr>
          <w:rFonts w:ascii="宋体" w:hAnsi="宋体" w:eastAsia="宋体" w:cs="宋体"/>
          <w:color w:val="auto"/>
          <w:spacing w:val="6"/>
          <w:sz w:val="20"/>
          <w:szCs w:val="20"/>
        </w:rPr>
        <w:t>”中的商务</w:t>
      </w:r>
      <w:r>
        <w:rPr>
          <w:rFonts w:hint="eastAsia" w:ascii="宋体" w:hAnsi="宋体" w:eastAsia="宋体" w:cs="宋体"/>
          <w:color w:val="auto"/>
          <w:spacing w:val="6"/>
          <w:sz w:val="20"/>
          <w:szCs w:val="20"/>
          <w:lang w:val="en-US" w:eastAsia="zh-CN"/>
        </w:rPr>
        <w:t>部分和</w:t>
      </w:r>
      <w:r>
        <w:rPr>
          <w:rFonts w:hint="eastAsia" w:ascii="Times New Roman" w:hAnsi="Times New Roman" w:eastAsia="Times New Roman" w:cs="Times New Roman"/>
          <w:color w:val="auto"/>
          <w:sz w:val="20"/>
          <w:szCs w:val="21"/>
          <w:highlight w:val="none"/>
        </w:rPr>
        <w:t>服务（技术）部分</w:t>
      </w:r>
      <w:r>
        <w:rPr>
          <w:rFonts w:ascii="宋体" w:hAnsi="宋体" w:eastAsia="宋体" w:cs="宋体"/>
          <w:color w:val="auto"/>
          <w:spacing w:val="6"/>
          <w:sz w:val="20"/>
          <w:szCs w:val="20"/>
        </w:rPr>
        <w:t>逐条作出明确响应</w:t>
      </w:r>
      <w:r>
        <w:rPr>
          <w:rFonts w:ascii="宋体" w:hAnsi="宋体" w:eastAsia="宋体" w:cs="宋体"/>
          <w:color w:val="auto"/>
          <w:spacing w:val="7"/>
          <w:sz w:val="20"/>
          <w:szCs w:val="20"/>
        </w:rPr>
        <w:t>，并作出偏离说明。</w:t>
      </w:r>
    </w:p>
    <w:p w14:paraId="3879C27A">
      <w:pPr>
        <w:spacing w:before="80" w:line="362" w:lineRule="auto"/>
        <w:ind w:left="70" w:right="250" w:firstLine="419"/>
        <w:rPr>
          <w:rFonts w:ascii="宋体" w:hAnsi="宋体" w:eastAsia="宋体" w:cs="宋体"/>
          <w:color w:val="auto"/>
          <w:sz w:val="20"/>
          <w:szCs w:val="20"/>
        </w:rPr>
      </w:pPr>
      <w:r>
        <w:rPr>
          <w:rFonts w:ascii="宋体" w:hAnsi="宋体" w:eastAsia="宋体" w:cs="宋体"/>
          <w:color w:val="auto"/>
          <w:spacing w:val="8"/>
          <w:sz w:val="20"/>
          <w:szCs w:val="20"/>
        </w:rPr>
        <w:t>2.供应商应根据自身的承诺，对照竞争性磋商文件要求在“偏离说明</w:t>
      </w:r>
      <w:r>
        <w:rPr>
          <w:rFonts w:ascii="宋体" w:hAnsi="宋体" w:eastAsia="宋体" w:cs="宋体"/>
          <w:color w:val="auto"/>
          <w:spacing w:val="-63"/>
          <w:sz w:val="20"/>
          <w:szCs w:val="20"/>
        </w:rPr>
        <w:t xml:space="preserve"> </w:t>
      </w:r>
      <w:r>
        <w:rPr>
          <w:rFonts w:ascii="宋体" w:hAnsi="宋体" w:eastAsia="宋体" w:cs="宋体"/>
          <w:color w:val="auto"/>
          <w:spacing w:val="8"/>
          <w:sz w:val="20"/>
          <w:szCs w:val="20"/>
        </w:rPr>
        <w:t>”中注明“正偏离</w:t>
      </w:r>
      <w:r>
        <w:rPr>
          <w:rFonts w:ascii="宋体" w:hAnsi="宋体" w:eastAsia="宋体" w:cs="宋体"/>
          <w:color w:val="auto"/>
          <w:spacing w:val="-72"/>
          <w:sz w:val="20"/>
          <w:szCs w:val="20"/>
        </w:rPr>
        <w:t xml:space="preserve"> </w:t>
      </w:r>
      <w:r>
        <w:rPr>
          <w:rFonts w:ascii="宋体" w:hAnsi="宋体" w:eastAsia="宋体" w:cs="宋体"/>
          <w:color w:val="auto"/>
          <w:spacing w:val="8"/>
          <w:sz w:val="20"/>
          <w:szCs w:val="20"/>
        </w:rPr>
        <w:t>”、“负偏</w:t>
      </w:r>
      <w:r>
        <w:rPr>
          <w:rFonts w:ascii="宋体" w:hAnsi="宋体" w:eastAsia="宋体" w:cs="宋体"/>
          <w:color w:val="auto"/>
          <w:spacing w:val="6"/>
          <w:sz w:val="20"/>
          <w:szCs w:val="20"/>
        </w:rPr>
        <w:t>离</w:t>
      </w:r>
      <w:r>
        <w:rPr>
          <w:rFonts w:ascii="宋体" w:hAnsi="宋体" w:eastAsia="宋体" w:cs="宋体"/>
          <w:color w:val="auto"/>
          <w:spacing w:val="-62"/>
          <w:sz w:val="20"/>
          <w:szCs w:val="20"/>
        </w:rPr>
        <w:t xml:space="preserve"> </w:t>
      </w:r>
      <w:r>
        <w:rPr>
          <w:rFonts w:ascii="宋体" w:hAnsi="宋体" w:eastAsia="宋体" w:cs="宋体"/>
          <w:color w:val="auto"/>
          <w:spacing w:val="6"/>
          <w:sz w:val="20"/>
          <w:szCs w:val="20"/>
        </w:rPr>
        <w:t>”或者“无偏离</w:t>
      </w:r>
      <w:r>
        <w:rPr>
          <w:rFonts w:ascii="宋体" w:hAnsi="宋体" w:eastAsia="宋体" w:cs="宋体"/>
          <w:color w:val="auto"/>
          <w:spacing w:val="-72"/>
          <w:sz w:val="20"/>
          <w:szCs w:val="20"/>
        </w:rPr>
        <w:t xml:space="preserve"> </w:t>
      </w:r>
      <w:r>
        <w:rPr>
          <w:rFonts w:ascii="宋体" w:hAnsi="宋体" w:eastAsia="宋体" w:cs="宋体"/>
          <w:color w:val="auto"/>
          <w:spacing w:val="6"/>
          <w:sz w:val="20"/>
          <w:szCs w:val="20"/>
        </w:rPr>
        <w:t>”。既不属于“正偏离</w:t>
      </w:r>
      <w:r>
        <w:rPr>
          <w:rFonts w:ascii="宋体" w:hAnsi="宋体" w:eastAsia="宋体" w:cs="宋体"/>
          <w:color w:val="auto"/>
          <w:spacing w:val="-73"/>
          <w:sz w:val="20"/>
          <w:szCs w:val="20"/>
        </w:rPr>
        <w:t xml:space="preserve"> </w:t>
      </w:r>
      <w:r>
        <w:rPr>
          <w:rFonts w:ascii="宋体" w:hAnsi="宋体" w:eastAsia="宋体" w:cs="宋体"/>
          <w:color w:val="auto"/>
          <w:spacing w:val="6"/>
          <w:sz w:val="20"/>
          <w:szCs w:val="20"/>
        </w:rPr>
        <w:t>”也不属于“负偏离</w:t>
      </w:r>
      <w:r>
        <w:rPr>
          <w:rFonts w:ascii="宋体" w:hAnsi="宋体" w:eastAsia="宋体" w:cs="宋体"/>
          <w:color w:val="auto"/>
          <w:spacing w:val="-70"/>
          <w:sz w:val="20"/>
          <w:szCs w:val="20"/>
        </w:rPr>
        <w:t xml:space="preserve"> </w:t>
      </w:r>
      <w:r>
        <w:rPr>
          <w:rFonts w:ascii="宋体" w:hAnsi="宋体" w:eastAsia="宋体" w:cs="宋体"/>
          <w:color w:val="auto"/>
          <w:spacing w:val="6"/>
          <w:sz w:val="20"/>
          <w:szCs w:val="20"/>
        </w:rPr>
        <w:t>”即为“无偏离</w:t>
      </w:r>
      <w:r>
        <w:rPr>
          <w:rFonts w:ascii="宋体" w:hAnsi="宋体" w:eastAsia="宋体" w:cs="宋体"/>
          <w:color w:val="auto"/>
          <w:spacing w:val="-72"/>
          <w:sz w:val="20"/>
          <w:szCs w:val="20"/>
        </w:rPr>
        <w:t xml:space="preserve"> </w:t>
      </w:r>
      <w:r>
        <w:rPr>
          <w:rFonts w:ascii="宋体" w:hAnsi="宋体" w:eastAsia="宋体" w:cs="宋体"/>
          <w:color w:val="auto"/>
          <w:spacing w:val="6"/>
          <w:sz w:val="20"/>
          <w:szCs w:val="20"/>
        </w:rPr>
        <w:t>”。</w:t>
      </w:r>
    </w:p>
    <w:p w14:paraId="272D93DD">
      <w:pPr>
        <w:spacing w:line="360" w:lineRule="auto"/>
        <w:rPr>
          <w:color w:val="auto"/>
          <w:highlight w:val="none"/>
        </w:rPr>
      </w:pPr>
    </w:p>
    <w:p w14:paraId="7B14D08D">
      <w:pPr>
        <w:spacing w:line="360" w:lineRule="auto"/>
        <w:rPr>
          <w:rFonts w:cs="Courier New"/>
          <w:color w:val="auto"/>
          <w:szCs w:val="21"/>
          <w:highlight w:val="none"/>
        </w:rPr>
      </w:pPr>
    </w:p>
    <w:p w14:paraId="742A22D7">
      <w:pPr>
        <w:spacing w:line="360" w:lineRule="auto"/>
        <w:rPr>
          <w:rFonts w:hint="default" w:eastAsia="宋体" w:cs="Courier New"/>
          <w:color w:val="auto"/>
          <w:szCs w:val="21"/>
          <w:highlight w:val="none"/>
          <w:u w:val="single"/>
          <w:lang w:val="en-US" w:eastAsia="zh-CN"/>
        </w:rPr>
      </w:pPr>
      <w:r>
        <w:rPr>
          <w:rFonts w:hint="eastAsia" w:cs="Courier New"/>
          <w:color w:val="auto"/>
          <w:szCs w:val="21"/>
          <w:highlight w:val="none"/>
        </w:rPr>
        <w:t>法定代表人或委托代理人签字</w:t>
      </w:r>
      <w:r>
        <w:rPr>
          <w:rFonts w:hint="eastAsia" w:cs="Courier New"/>
          <w:b/>
          <w:color w:val="auto"/>
          <w:szCs w:val="21"/>
          <w:highlight w:val="none"/>
        </w:rPr>
        <w:t>（盖姓名章的无效）</w:t>
      </w:r>
      <w:r>
        <w:rPr>
          <w:rFonts w:hint="eastAsia" w:cs="Courier New"/>
          <w:color w:val="auto"/>
          <w:szCs w:val="21"/>
          <w:highlight w:val="none"/>
        </w:rPr>
        <w:t>:</w:t>
      </w:r>
      <w:r>
        <w:rPr>
          <w:rFonts w:hint="eastAsia" w:cs="Courier New"/>
          <w:color w:val="auto"/>
          <w:szCs w:val="21"/>
          <w:highlight w:val="none"/>
          <w:u w:val="single"/>
          <w:lang w:val="en-US" w:eastAsia="zh-CN"/>
        </w:rPr>
        <w:t xml:space="preserve">                </w:t>
      </w:r>
    </w:p>
    <w:p w14:paraId="1B5651C7">
      <w:pPr>
        <w:spacing w:line="360" w:lineRule="auto"/>
        <w:rPr>
          <w:rFonts w:cs="Courier New"/>
          <w:color w:val="auto"/>
          <w:szCs w:val="21"/>
          <w:highlight w:val="none"/>
          <w:u w:val="single"/>
        </w:rPr>
      </w:pPr>
      <w:r>
        <w:rPr>
          <w:rFonts w:hint="eastAsia" w:cs="Courier New"/>
          <w:color w:val="auto"/>
          <w:szCs w:val="21"/>
          <w:highlight w:val="none"/>
          <w:u w:val="single"/>
        </w:rPr>
        <w:t xml:space="preserve">  </w:t>
      </w:r>
      <w:r>
        <w:rPr>
          <w:rFonts w:hint="eastAsia" w:cs="Courier New"/>
          <w:color w:val="auto"/>
          <w:szCs w:val="21"/>
          <w:highlight w:val="none"/>
          <w:u w:val="single"/>
          <w:lang w:val="en-US" w:eastAsia="zh-CN"/>
        </w:rPr>
        <w:t xml:space="preserve">    </w:t>
      </w:r>
      <w:r>
        <w:rPr>
          <w:rFonts w:hint="eastAsia" w:cs="Courier New"/>
          <w:color w:val="auto"/>
          <w:szCs w:val="21"/>
          <w:highlight w:val="none"/>
        </w:rPr>
        <w:t>年</w:t>
      </w:r>
      <w:r>
        <w:rPr>
          <w:rFonts w:hint="eastAsia" w:cs="Courier New"/>
          <w:color w:val="auto"/>
          <w:szCs w:val="21"/>
          <w:highlight w:val="none"/>
          <w:u w:val="single"/>
        </w:rPr>
        <w:t xml:space="preserve">  </w:t>
      </w:r>
      <w:r>
        <w:rPr>
          <w:rFonts w:hint="eastAsia" w:cs="Courier New"/>
          <w:color w:val="auto"/>
          <w:szCs w:val="21"/>
          <w:highlight w:val="none"/>
          <w:u w:val="single"/>
          <w:lang w:val="en-US" w:eastAsia="zh-CN"/>
        </w:rPr>
        <w:t xml:space="preserve">    </w:t>
      </w:r>
      <w:r>
        <w:rPr>
          <w:rFonts w:hint="eastAsia" w:cs="Courier New"/>
          <w:color w:val="auto"/>
          <w:szCs w:val="21"/>
          <w:highlight w:val="none"/>
        </w:rPr>
        <w:t>月</w:t>
      </w:r>
      <w:r>
        <w:rPr>
          <w:rFonts w:hint="eastAsia" w:cs="Courier New"/>
          <w:color w:val="auto"/>
          <w:szCs w:val="21"/>
          <w:highlight w:val="none"/>
          <w:u w:val="single"/>
        </w:rPr>
        <w:t xml:space="preserve"> </w:t>
      </w:r>
      <w:r>
        <w:rPr>
          <w:rFonts w:hint="eastAsia" w:cs="Courier New"/>
          <w:color w:val="auto"/>
          <w:szCs w:val="21"/>
          <w:highlight w:val="none"/>
          <w:u w:val="single"/>
          <w:lang w:val="en-US" w:eastAsia="zh-CN"/>
        </w:rPr>
        <w:t xml:space="preserve">    </w:t>
      </w:r>
      <w:r>
        <w:rPr>
          <w:rFonts w:hint="eastAsia" w:cs="Courier New"/>
          <w:color w:val="auto"/>
          <w:szCs w:val="21"/>
          <w:highlight w:val="none"/>
          <w:u w:val="single"/>
        </w:rPr>
        <w:t xml:space="preserve"> </w:t>
      </w:r>
      <w:r>
        <w:rPr>
          <w:rFonts w:hint="eastAsia" w:cs="Courier New"/>
          <w:color w:val="auto"/>
          <w:szCs w:val="21"/>
          <w:highlight w:val="none"/>
        </w:rPr>
        <w:t>日</w:t>
      </w:r>
    </w:p>
    <w:p w14:paraId="138CF689">
      <w:pPr>
        <w:spacing w:line="360" w:lineRule="auto"/>
        <w:rPr>
          <w:b/>
          <w:color w:val="auto"/>
          <w:szCs w:val="21"/>
          <w:highlight w:val="none"/>
        </w:rPr>
      </w:pPr>
    </w:p>
    <w:p w14:paraId="158FA082">
      <w:pPr>
        <w:spacing w:line="360" w:lineRule="auto"/>
        <w:rPr>
          <w:b/>
          <w:color w:val="auto"/>
          <w:szCs w:val="21"/>
          <w:highlight w:val="none"/>
        </w:rPr>
      </w:pPr>
      <w:r>
        <w:rPr>
          <w:b/>
          <w:color w:val="auto"/>
          <w:szCs w:val="21"/>
          <w:highlight w:val="none"/>
        </w:rPr>
        <w:br w:type="page"/>
      </w:r>
    </w:p>
    <w:p w14:paraId="4063DE11">
      <w:pPr>
        <w:spacing w:line="360" w:lineRule="auto"/>
        <w:rPr>
          <w:rFonts w:hint="eastAsia" w:eastAsia="宋体"/>
          <w:b w:val="0"/>
          <w:bCs/>
          <w:color w:val="auto"/>
          <w:szCs w:val="21"/>
          <w:highlight w:val="none"/>
          <w:lang w:eastAsia="zh-CN"/>
        </w:rPr>
      </w:pPr>
      <w:r>
        <w:rPr>
          <w:rFonts w:hint="eastAsia"/>
          <w:b w:val="0"/>
          <w:bCs/>
          <w:color w:val="auto"/>
          <w:szCs w:val="21"/>
          <w:highlight w:val="none"/>
        </w:rPr>
        <w:t>附件</w:t>
      </w:r>
      <w:r>
        <w:rPr>
          <w:rFonts w:hint="eastAsia"/>
          <w:b w:val="0"/>
          <w:bCs/>
          <w:color w:val="auto"/>
          <w:szCs w:val="21"/>
          <w:highlight w:val="none"/>
          <w:lang w:val="en-US" w:eastAsia="zh-CN"/>
        </w:rPr>
        <w:t>9</w:t>
      </w:r>
    </w:p>
    <w:p w14:paraId="22DB1D93">
      <w:pPr>
        <w:spacing w:line="360" w:lineRule="auto"/>
        <w:rPr>
          <w:b/>
          <w:color w:val="auto"/>
          <w:szCs w:val="21"/>
          <w:highlight w:val="none"/>
        </w:rPr>
      </w:pPr>
    </w:p>
    <w:p w14:paraId="56450081">
      <w:pPr>
        <w:pStyle w:val="13"/>
        <w:spacing w:line="360" w:lineRule="auto"/>
        <w:jc w:val="center"/>
        <w:rPr>
          <w:rFonts w:ascii="黑体" w:eastAsia="黑体"/>
          <w:b/>
          <w:color w:val="auto"/>
          <w:sz w:val="32"/>
          <w:highlight w:val="none"/>
        </w:rPr>
      </w:pPr>
    </w:p>
    <w:p w14:paraId="23AA6E15">
      <w:pPr>
        <w:pStyle w:val="5"/>
        <w:spacing w:line="360" w:lineRule="auto"/>
        <w:rPr>
          <w:rFonts w:ascii="黑体" w:eastAsia="黑体"/>
          <w:color w:val="auto"/>
          <w:highlight w:val="none"/>
        </w:rPr>
      </w:pPr>
      <w:r>
        <w:rPr>
          <w:rFonts w:hint="eastAsia"/>
          <w:color w:val="auto"/>
          <w:highlight w:val="none"/>
        </w:rPr>
        <w:t>技术、服务方案(含服务承诺)（格式）</w:t>
      </w:r>
    </w:p>
    <w:p w14:paraId="3FD2ACCE">
      <w:pPr>
        <w:pStyle w:val="13"/>
        <w:spacing w:line="360" w:lineRule="auto"/>
        <w:jc w:val="center"/>
        <w:rPr>
          <w:color w:val="auto"/>
          <w:highlight w:val="none"/>
        </w:rPr>
      </w:pPr>
    </w:p>
    <w:p w14:paraId="42A23146">
      <w:pPr>
        <w:spacing w:line="360" w:lineRule="auto"/>
        <w:jc w:val="center"/>
        <w:rPr>
          <w:color w:val="auto"/>
          <w:highlight w:val="none"/>
        </w:rPr>
      </w:pPr>
      <w:r>
        <w:rPr>
          <w:rFonts w:hint="eastAsia"/>
          <w:color w:val="auto"/>
          <w:highlight w:val="none"/>
        </w:rPr>
        <w:t>【由供应商按《项目需求》中的要求自行分别填写】</w:t>
      </w:r>
    </w:p>
    <w:p w14:paraId="488716E8">
      <w:pPr>
        <w:pStyle w:val="13"/>
        <w:spacing w:line="360" w:lineRule="auto"/>
        <w:rPr>
          <w:color w:val="auto"/>
          <w:highlight w:val="none"/>
        </w:rPr>
      </w:pPr>
    </w:p>
    <w:p w14:paraId="75D70C6A">
      <w:pPr>
        <w:pStyle w:val="13"/>
        <w:spacing w:line="360" w:lineRule="auto"/>
        <w:rPr>
          <w:color w:val="auto"/>
          <w:highlight w:val="none"/>
        </w:rPr>
      </w:pPr>
    </w:p>
    <w:p w14:paraId="59AC8558">
      <w:pPr>
        <w:pStyle w:val="13"/>
        <w:spacing w:line="360" w:lineRule="auto"/>
        <w:rPr>
          <w:color w:val="auto"/>
          <w:highlight w:val="none"/>
        </w:rPr>
      </w:pPr>
    </w:p>
    <w:p w14:paraId="278E4101">
      <w:pPr>
        <w:pStyle w:val="13"/>
        <w:spacing w:line="360" w:lineRule="auto"/>
        <w:rPr>
          <w:color w:val="auto"/>
          <w:highlight w:val="none"/>
        </w:rPr>
      </w:pPr>
    </w:p>
    <w:p w14:paraId="086BBD22">
      <w:pPr>
        <w:pStyle w:val="13"/>
        <w:spacing w:line="360" w:lineRule="auto"/>
        <w:rPr>
          <w:color w:val="auto"/>
          <w:highlight w:val="none"/>
        </w:rPr>
      </w:pPr>
    </w:p>
    <w:p w14:paraId="2794D32A">
      <w:pPr>
        <w:pStyle w:val="13"/>
        <w:spacing w:line="360" w:lineRule="auto"/>
        <w:rPr>
          <w:color w:val="auto"/>
          <w:highlight w:val="none"/>
        </w:rPr>
      </w:pPr>
    </w:p>
    <w:p w14:paraId="0C6BDF7A">
      <w:pPr>
        <w:pStyle w:val="13"/>
        <w:spacing w:line="360" w:lineRule="auto"/>
        <w:rPr>
          <w:color w:val="auto"/>
          <w:highlight w:val="none"/>
        </w:rPr>
      </w:pPr>
    </w:p>
    <w:p w14:paraId="3D6AE344">
      <w:pPr>
        <w:pStyle w:val="13"/>
        <w:spacing w:line="360" w:lineRule="auto"/>
        <w:rPr>
          <w:color w:val="auto"/>
          <w:highlight w:val="none"/>
        </w:rPr>
      </w:pPr>
    </w:p>
    <w:p w14:paraId="37BA38BA">
      <w:pPr>
        <w:pStyle w:val="13"/>
        <w:spacing w:line="360" w:lineRule="auto"/>
        <w:rPr>
          <w:color w:val="auto"/>
          <w:highlight w:val="none"/>
        </w:rPr>
      </w:pPr>
    </w:p>
    <w:p w14:paraId="5FD9D936">
      <w:pPr>
        <w:pStyle w:val="13"/>
        <w:spacing w:line="360" w:lineRule="auto"/>
        <w:rPr>
          <w:color w:val="auto"/>
          <w:highlight w:val="none"/>
        </w:rPr>
      </w:pPr>
    </w:p>
    <w:p w14:paraId="1EC39AB0">
      <w:pPr>
        <w:pStyle w:val="13"/>
        <w:spacing w:line="360" w:lineRule="auto"/>
        <w:rPr>
          <w:color w:val="auto"/>
          <w:highlight w:val="none"/>
        </w:rPr>
      </w:pPr>
    </w:p>
    <w:p w14:paraId="00BB00DA">
      <w:pPr>
        <w:pStyle w:val="13"/>
        <w:spacing w:line="360" w:lineRule="auto"/>
        <w:rPr>
          <w:color w:val="auto"/>
          <w:highlight w:val="none"/>
        </w:rPr>
      </w:pPr>
    </w:p>
    <w:p w14:paraId="4D1D775D">
      <w:pPr>
        <w:pStyle w:val="13"/>
        <w:spacing w:line="360" w:lineRule="auto"/>
        <w:rPr>
          <w:color w:val="auto"/>
          <w:highlight w:val="none"/>
        </w:rPr>
      </w:pPr>
    </w:p>
    <w:p w14:paraId="49D143A1">
      <w:pPr>
        <w:pStyle w:val="13"/>
        <w:spacing w:line="360" w:lineRule="auto"/>
        <w:rPr>
          <w:color w:val="auto"/>
          <w:highlight w:val="none"/>
        </w:rPr>
      </w:pPr>
    </w:p>
    <w:p w14:paraId="1BA6EAD2">
      <w:pPr>
        <w:pStyle w:val="13"/>
        <w:spacing w:line="360" w:lineRule="auto"/>
        <w:rPr>
          <w:color w:val="auto"/>
          <w:highlight w:val="none"/>
        </w:rPr>
      </w:pPr>
    </w:p>
    <w:p w14:paraId="10BD5C7E">
      <w:pPr>
        <w:pStyle w:val="13"/>
        <w:spacing w:line="360" w:lineRule="auto"/>
        <w:rPr>
          <w:rFonts w:hint="default" w:eastAsia="宋体"/>
          <w:color w:val="auto"/>
          <w:highlight w:val="none"/>
          <w:u w:val="single"/>
          <w:lang w:val="en-US" w:eastAsia="zh-CN"/>
        </w:rPr>
      </w:pPr>
      <w:r>
        <w:rPr>
          <w:rFonts w:hint="eastAsia"/>
          <w:color w:val="auto"/>
          <w:highlight w:val="none"/>
        </w:rPr>
        <w:t>供应商盖（公章）：</w:t>
      </w:r>
      <w:r>
        <w:rPr>
          <w:rFonts w:hint="eastAsia"/>
          <w:color w:val="auto"/>
          <w:highlight w:val="none"/>
          <w:u w:val="single"/>
          <w:lang w:val="en-US" w:eastAsia="zh-CN"/>
        </w:rPr>
        <w:t xml:space="preserve">             </w:t>
      </w:r>
    </w:p>
    <w:p w14:paraId="0DD2E3E6">
      <w:pPr>
        <w:pStyle w:val="13"/>
        <w:spacing w:line="360" w:lineRule="auto"/>
        <w:rPr>
          <w:color w:val="auto"/>
          <w:highlight w:val="none"/>
        </w:rPr>
      </w:pPr>
    </w:p>
    <w:p w14:paraId="290ED904">
      <w:pPr>
        <w:pStyle w:val="13"/>
        <w:spacing w:line="360" w:lineRule="auto"/>
        <w:rPr>
          <w:rFonts w:hint="default" w:eastAsia="宋体"/>
          <w:color w:val="auto"/>
          <w:highlight w:val="none"/>
          <w:u w:val="single"/>
          <w:lang w:val="en-US" w:eastAsia="zh-CN"/>
        </w:rPr>
      </w:pPr>
      <w:r>
        <w:rPr>
          <w:rFonts w:hint="eastAsia"/>
          <w:color w:val="auto"/>
          <w:highlight w:val="none"/>
        </w:rPr>
        <w:t>法定代表人或授权代表签字</w:t>
      </w:r>
      <w:r>
        <w:rPr>
          <w:rFonts w:hint="eastAsia" w:hAnsi="宋体"/>
          <w:b/>
          <w:color w:val="auto"/>
          <w:highlight w:val="none"/>
        </w:rPr>
        <w:t>（盖姓名章的无效）</w:t>
      </w:r>
      <w:r>
        <w:rPr>
          <w:rFonts w:hint="eastAsia"/>
          <w:color w:val="auto"/>
          <w:highlight w:val="none"/>
        </w:rPr>
        <w:t>：</w:t>
      </w:r>
      <w:r>
        <w:rPr>
          <w:rFonts w:hint="eastAsia"/>
          <w:color w:val="auto"/>
          <w:highlight w:val="none"/>
          <w:u w:val="single"/>
          <w:lang w:val="en-US" w:eastAsia="zh-CN"/>
        </w:rPr>
        <w:t xml:space="preserve">               </w:t>
      </w:r>
    </w:p>
    <w:p w14:paraId="3340D8B3">
      <w:pPr>
        <w:pStyle w:val="13"/>
        <w:spacing w:line="360" w:lineRule="auto"/>
        <w:rPr>
          <w:color w:val="auto"/>
          <w:highlight w:val="none"/>
          <w:u w:val="single"/>
        </w:rPr>
      </w:pPr>
    </w:p>
    <w:p w14:paraId="279C5B36">
      <w:pPr>
        <w:pStyle w:val="13"/>
        <w:spacing w:line="360" w:lineRule="auto"/>
        <w:rPr>
          <w:rFonts w:hint="default" w:eastAsia="宋体"/>
          <w:color w:val="auto"/>
          <w:highlight w:val="none"/>
          <w:u w:val="single"/>
          <w:lang w:val="en-US" w:eastAsia="zh-CN"/>
        </w:rPr>
      </w:pPr>
      <w:r>
        <w:rPr>
          <w:rFonts w:hint="eastAsia"/>
          <w:color w:val="auto"/>
          <w:highlight w:val="none"/>
        </w:rPr>
        <w:t>日期：</w:t>
      </w:r>
      <w:r>
        <w:rPr>
          <w:rFonts w:hint="eastAsia"/>
          <w:color w:val="auto"/>
          <w:highlight w:val="none"/>
          <w:u w:val="single"/>
          <w:lang w:val="en-US" w:eastAsia="zh-CN"/>
        </w:rPr>
        <w:t xml:space="preserve">              </w:t>
      </w:r>
    </w:p>
    <w:p w14:paraId="545FF14F">
      <w:pPr>
        <w:pStyle w:val="13"/>
        <w:spacing w:line="360" w:lineRule="auto"/>
        <w:rPr>
          <w:rFonts w:hAnsi="宋体"/>
          <w:color w:val="auto"/>
          <w:highlight w:val="none"/>
        </w:rPr>
      </w:pPr>
      <w:r>
        <w:rPr>
          <w:color w:val="auto"/>
          <w:highlight w:val="none"/>
        </w:rPr>
        <w:br w:type="page"/>
      </w:r>
    </w:p>
    <w:p w14:paraId="11781B45">
      <w:pPr>
        <w:spacing w:line="360" w:lineRule="auto"/>
        <w:rPr>
          <w:rFonts w:hint="default" w:eastAsia="宋体"/>
          <w:color w:val="auto"/>
          <w:szCs w:val="21"/>
          <w:highlight w:val="none"/>
          <w:lang w:val="en-US" w:eastAsia="zh-CN"/>
        </w:rPr>
      </w:pPr>
      <w:r>
        <w:rPr>
          <w:rFonts w:hint="eastAsia"/>
          <w:color w:val="auto"/>
          <w:szCs w:val="21"/>
          <w:highlight w:val="none"/>
        </w:rPr>
        <w:t>附件</w:t>
      </w:r>
      <w:r>
        <w:rPr>
          <w:rFonts w:hint="eastAsia"/>
          <w:color w:val="auto"/>
          <w:szCs w:val="21"/>
          <w:highlight w:val="none"/>
          <w:lang w:val="en-US" w:eastAsia="zh-CN"/>
        </w:rPr>
        <w:t>10</w:t>
      </w:r>
    </w:p>
    <w:p w14:paraId="62742A5A">
      <w:pPr>
        <w:spacing w:line="360" w:lineRule="auto"/>
        <w:ind w:left="420"/>
        <w:rPr>
          <w:color w:val="auto"/>
          <w:szCs w:val="21"/>
          <w:highlight w:val="none"/>
        </w:rPr>
      </w:pPr>
    </w:p>
    <w:p w14:paraId="5E48B2C7">
      <w:pPr>
        <w:pStyle w:val="5"/>
        <w:spacing w:line="360" w:lineRule="auto"/>
        <w:rPr>
          <w:color w:val="auto"/>
          <w:highlight w:val="none"/>
        </w:rPr>
      </w:pPr>
      <w:r>
        <w:rPr>
          <w:rFonts w:hint="eastAsia"/>
          <w:color w:val="auto"/>
          <w:highlight w:val="none"/>
        </w:rPr>
        <w:t>资格、资信证明文件</w:t>
      </w:r>
    </w:p>
    <w:p w14:paraId="75A813C0">
      <w:pPr>
        <w:adjustRightInd w:val="0"/>
        <w:snapToGrid w:val="0"/>
        <w:spacing w:line="360" w:lineRule="auto"/>
        <w:jc w:val="center"/>
        <w:rPr>
          <w:b/>
          <w:color w:val="auto"/>
          <w:szCs w:val="21"/>
          <w:highlight w:val="none"/>
        </w:rPr>
      </w:pPr>
      <w:r>
        <w:rPr>
          <w:rFonts w:hint="eastAsia"/>
          <w:b/>
          <w:color w:val="auto"/>
          <w:szCs w:val="21"/>
          <w:highlight w:val="none"/>
        </w:rPr>
        <w:t>（按供应商须知5.6.2要求提供）</w:t>
      </w:r>
    </w:p>
    <w:p w14:paraId="741C0054">
      <w:pPr>
        <w:spacing w:line="360" w:lineRule="auto"/>
        <w:ind w:left="420"/>
        <w:jc w:val="center"/>
        <w:rPr>
          <w:rFonts w:ascii="黑体" w:eastAsia="黑体"/>
          <w:b/>
          <w:color w:val="auto"/>
          <w:sz w:val="32"/>
          <w:szCs w:val="32"/>
          <w:highlight w:val="none"/>
        </w:rPr>
      </w:pPr>
    </w:p>
    <w:p w14:paraId="0C5C3DE5">
      <w:pPr>
        <w:spacing w:line="360" w:lineRule="auto"/>
        <w:ind w:left="420"/>
        <w:jc w:val="center"/>
        <w:rPr>
          <w:rFonts w:ascii="黑体" w:eastAsia="黑体"/>
          <w:b/>
          <w:color w:val="auto"/>
          <w:sz w:val="32"/>
          <w:szCs w:val="32"/>
          <w:highlight w:val="none"/>
        </w:rPr>
      </w:pPr>
    </w:p>
    <w:p w14:paraId="0B71AABC">
      <w:pPr>
        <w:spacing w:line="360" w:lineRule="auto"/>
        <w:ind w:left="420"/>
        <w:jc w:val="center"/>
        <w:rPr>
          <w:rFonts w:ascii="黑体" w:eastAsia="黑体"/>
          <w:b/>
          <w:color w:val="auto"/>
          <w:sz w:val="32"/>
          <w:szCs w:val="32"/>
          <w:highlight w:val="none"/>
        </w:rPr>
      </w:pPr>
    </w:p>
    <w:p w14:paraId="0D92BEAE">
      <w:pPr>
        <w:spacing w:line="360" w:lineRule="auto"/>
        <w:ind w:left="420"/>
        <w:jc w:val="center"/>
        <w:rPr>
          <w:rFonts w:ascii="黑体" w:eastAsia="黑体"/>
          <w:b/>
          <w:color w:val="auto"/>
          <w:sz w:val="32"/>
          <w:szCs w:val="32"/>
          <w:highlight w:val="none"/>
        </w:rPr>
      </w:pPr>
    </w:p>
    <w:p w14:paraId="2212286F">
      <w:pPr>
        <w:spacing w:line="360" w:lineRule="auto"/>
        <w:ind w:left="420"/>
        <w:jc w:val="center"/>
        <w:rPr>
          <w:rFonts w:ascii="黑体" w:eastAsia="黑体"/>
          <w:b/>
          <w:color w:val="auto"/>
          <w:sz w:val="32"/>
          <w:szCs w:val="32"/>
          <w:highlight w:val="none"/>
        </w:rPr>
      </w:pPr>
    </w:p>
    <w:p w14:paraId="218EA307">
      <w:pPr>
        <w:spacing w:line="360" w:lineRule="auto"/>
        <w:ind w:left="420"/>
        <w:jc w:val="center"/>
        <w:rPr>
          <w:rFonts w:ascii="黑体" w:eastAsia="黑体"/>
          <w:b/>
          <w:color w:val="auto"/>
          <w:sz w:val="32"/>
          <w:szCs w:val="32"/>
          <w:highlight w:val="none"/>
        </w:rPr>
      </w:pPr>
    </w:p>
    <w:p w14:paraId="7B14003C">
      <w:pPr>
        <w:spacing w:line="360" w:lineRule="auto"/>
        <w:ind w:left="420"/>
        <w:jc w:val="center"/>
        <w:rPr>
          <w:rFonts w:ascii="黑体" w:eastAsia="黑体"/>
          <w:b/>
          <w:color w:val="auto"/>
          <w:sz w:val="32"/>
          <w:szCs w:val="32"/>
          <w:highlight w:val="none"/>
        </w:rPr>
      </w:pPr>
    </w:p>
    <w:p w14:paraId="52E2BF22">
      <w:pPr>
        <w:spacing w:line="360" w:lineRule="auto"/>
        <w:ind w:left="420"/>
        <w:jc w:val="center"/>
        <w:rPr>
          <w:rFonts w:ascii="黑体" w:eastAsia="黑体"/>
          <w:b/>
          <w:color w:val="auto"/>
          <w:sz w:val="32"/>
          <w:szCs w:val="32"/>
          <w:highlight w:val="none"/>
        </w:rPr>
      </w:pPr>
    </w:p>
    <w:p w14:paraId="7D1BDDC1">
      <w:pPr>
        <w:spacing w:line="360" w:lineRule="auto"/>
        <w:ind w:left="420"/>
        <w:jc w:val="center"/>
        <w:rPr>
          <w:rFonts w:ascii="黑体" w:eastAsia="黑体"/>
          <w:b/>
          <w:color w:val="auto"/>
          <w:sz w:val="32"/>
          <w:szCs w:val="32"/>
          <w:highlight w:val="none"/>
        </w:rPr>
      </w:pPr>
    </w:p>
    <w:p w14:paraId="4861979D">
      <w:pPr>
        <w:spacing w:line="360" w:lineRule="auto"/>
        <w:ind w:left="420"/>
        <w:jc w:val="center"/>
        <w:rPr>
          <w:rFonts w:ascii="黑体" w:eastAsia="黑体"/>
          <w:b/>
          <w:color w:val="auto"/>
          <w:sz w:val="32"/>
          <w:szCs w:val="32"/>
          <w:highlight w:val="none"/>
        </w:rPr>
      </w:pPr>
    </w:p>
    <w:p w14:paraId="1699C860">
      <w:pPr>
        <w:spacing w:line="360" w:lineRule="auto"/>
        <w:ind w:left="420"/>
        <w:jc w:val="center"/>
        <w:rPr>
          <w:rFonts w:ascii="黑体" w:eastAsia="黑体"/>
          <w:b/>
          <w:color w:val="auto"/>
          <w:sz w:val="32"/>
          <w:szCs w:val="32"/>
          <w:highlight w:val="none"/>
        </w:rPr>
      </w:pPr>
    </w:p>
    <w:p w14:paraId="1E004619">
      <w:pPr>
        <w:spacing w:line="360" w:lineRule="auto"/>
        <w:ind w:left="420"/>
        <w:jc w:val="center"/>
        <w:rPr>
          <w:rFonts w:ascii="黑体" w:eastAsia="黑体"/>
          <w:b/>
          <w:color w:val="auto"/>
          <w:sz w:val="32"/>
          <w:szCs w:val="32"/>
          <w:highlight w:val="none"/>
        </w:rPr>
      </w:pPr>
    </w:p>
    <w:p w14:paraId="1B499EEC">
      <w:pPr>
        <w:spacing w:line="360" w:lineRule="auto"/>
        <w:ind w:left="420"/>
        <w:jc w:val="center"/>
        <w:rPr>
          <w:rFonts w:ascii="黑体" w:eastAsia="黑体"/>
          <w:b/>
          <w:color w:val="auto"/>
          <w:sz w:val="32"/>
          <w:szCs w:val="32"/>
          <w:highlight w:val="none"/>
        </w:rPr>
      </w:pPr>
    </w:p>
    <w:p w14:paraId="29C901AB">
      <w:pPr>
        <w:spacing w:line="360" w:lineRule="auto"/>
        <w:ind w:left="420"/>
        <w:jc w:val="center"/>
        <w:rPr>
          <w:rFonts w:ascii="黑体" w:eastAsia="黑体"/>
          <w:b/>
          <w:color w:val="auto"/>
          <w:sz w:val="32"/>
          <w:szCs w:val="32"/>
          <w:highlight w:val="none"/>
        </w:rPr>
      </w:pPr>
    </w:p>
    <w:p w14:paraId="33F5BC03">
      <w:pPr>
        <w:spacing w:line="360" w:lineRule="auto"/>
        <w:ind w:left="420"/>
        <w:jc w:val="center"/>
        <w:rPr>
          <w:rFonts w:ascii="黑体" w:eastAsia="黑体"/>
          <w:b/>
          <w:color w:val="auto"/>
          <w:sz w:val="32"/>
          <w:szCs w:val="32"/>
          <w:highlight w:val="none"/>
        </w:rPr>
      </w:pPr>
    </w:p>
    <w:p w14:paraId="212C09EE">
      <w:pPr>
        <w:spacing w:line="360" w:lineRule="auto"/>
        <w:ind w:left="420"/>
        <w:jc w:val="center"/>
        <w:rPr>
          <w:rFonts w:ascii="黑体" w:eastAsia="黑体"/>
          <w:b/>
          <w:color w:val="auto"/>
          <w:sz w:val="32"/>
          <w:szCs w:val="32"/>
          <w:highlight w:val="none"/>
        </w:rPr>
      </w:pPr>
    </w:p>
    <w:p w14:paraId="3F45F32B">
      <w:pPr>
        <w:spacing w:line="360" w:lineRule="auto"/>
        <w:ind w:left="420"/>
        <w:jc w:val="center"/>
        <w:rPr>
          <w:rFonts w:ascii="黑体" w:eastAsia="黑体"/>
          <w:b/>
          <w:color w:val="auto"/>
          <w:sz w:val="32"/>
          <w:szCs w:val="32"/>
          <w:highlight w:val="none"/>
        </w:rPr>
      </w:pPr>
    </w:p>
    <w:p w14:paraId="3C528835">
      <w:pPr>
        <w:spacing w:line="360" w:lineRule="auto"/>
        <w:ind w:left="420"/>
        <w:jc w:val="center"/>
        <w:rPr>
          <w:rFonts w:ascii="黑体" w:eastAsia="黑体"/>
          <w:b/>
          <w:color w:val="auto"/>
          <w:sz w:val="32"/>
          <w:szCs w:val="32"/>
          <w:highlight w:val="none"/>
        </w:rPr>
      </w:pPr>
    </w:p>
    <w:p w14:paraId="7E7ED4F4">
      <w:pPr>
        <w:spacing w:line="360" w:lineRule="auto"/>
        <w:ind w:left="420"/>
        <w:jc w:val="center"/>
        <w:rPr>
          <w:rFonts w:ascii="黑体" w:eastAsia="黑体"/>
          <w:b/>
          <w:color w:val="auto"/>
          <w:sz w:val="32"/>
          <w:szCs w:val="32"/>
          <w:highlight w:val="none"/>
        </w:rPr>
      </w:pPr>
    </w:p>
    <w:p w14:paraId="6A7502CC">
      <w:pPr>
        <w:spacing w:line="240" w:lineRule="auto"/>
        <w:jc w:val="left"/>
        <w:rPr>
          <w:rFonts w:ascii="黑体" w:eastAsia="黑体"/>
          <w:b/>
          <w:color w:val="auto"/>
          <w:sz w:val="32"/>
          <w:szCs w:val="32"/>
          <w:highlight w:val="none"/>
        </w:rPr>
      </w:pPr>
      <w:r>
        <w:rPr>
          <w:rFonts w:ascii="黑体" w:eastAsia="黑体"/>
          <w:b/>
          <w:color w:val="auto"/>
          <w:sz w:val="32"/>
          <w:szCs w:val="32"/>
          <w:highlight w:val="none"/>
        </w:rPr>
        <w:br w:type="page"/>
      </w:r>
    </w:p>
    <w:p w14:paraId="1AE92AE0">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其他资料格式：</w:t>
      </w:r>
    </w:p>
    <w:p w14:paraId="0BCA6310">
      <w:pPr>
        <w:spacing w:line="360" w:lineRule="auto"/>
        <w:jc w:val="center"/>
        <w:rPr>
          <w:rFonts w:hint="eastAsia"/>
          <w:b/>
          <w:spacing w:val="6"/>
          <w:sz w:val="32"/>
          <w:szCs w:val="32"/>
        </w:rPr>
      </w:pPr>
    </w:p>
    <w:p w14:paraId="2225C772">
      <w:pPr>
        <w:spacing w:line="360" w:lineRule="auto"/>
        <w:jc w:val="center"/>
        <w:rPr>
          <w:b/>
          <w:spacing w:val="6"/>
          <w:sz w:val="32"/>
          <w:szCs w:val="32"/>
        </w:rPr>
      </w:pPr>
      <w:r>
        <w:rPr>
          <w:rFonts w:hint="eastAsia"/>
          <w:b/>
          <w:spacing w:val="6"/>
          <w:sz w:val="32"/>
          <w:szCs w:val="32"/>
        </w:rPr>
        <w:t>中小企业声明函（服务）</w:t>
      </w:r>
    </w:p>
    <w:p w14:paraId="52A6BD1F">
      <w:pPr>
        <w:pStyle w:val="24"/>
        <w:spacing w:line="360" w:lineRule="auto"/>
        <w:ind w:left="440"/>
        <w:rPr>
          <w:color w:val="auto"/>
        </w:rPr>
      </w:pPr>
    </w:p>
    <w:p w14:paraId="76A3BF71">
      <w:pPr>
        <w:pStyle w:val="11"/>
        <w:spacing w:line="360" w:lineRule="auto"/>
        <w:ind w:right="142" w:firstLine="560" w:firstLineChars="200"/>
        <w:contextualSpacing/>
        <w:rPr>
          <w:sz w:val="28"/>
          <w:szCs w:val="28"/>
        </w:rPr>
      </w:pPr>
      <w:r>
        <w:rPr>
          <w:rFonts w:hint="eastAsia"/>
          <w:sz w:val="28"/>
          <w:szCs w:val="28"/>
        </w:rPr>
        <w:t>本公司（联合体）郑重声明，根据《政府采购促进中小企业发展管理办法》（财库﹝2020﹞46号）的规定，本公司（联合体）参加</w:t>
      </w:r>
      <w:r>
        <w:rPr>
          <w:rFonts w:hint="eastAsia"/>
          <w:sz w:val="28"/>
          <w:szCs w:val="28"/>
          <w:u w:val="single"/>
        </w:rPr>
        <w:t>（单位名称）</w:t>
      </w:r>
      <w:r>
        <w:rPr>
          <w:rFonts w:hint="eastAsia"/>
          <w:sz w:val="28"/>
          <w:szCs w:val="28"/>
        </w:rPr>
        <w:t>的</w:t>
      </w:r>
      <w:r>
        <w:rPr>
          <w:rFonts w:hint="eastAsia"/>
          <w:sz w:val="28"/>
          <w:szCs w:val="28"/>
          <w:u w:val="single"/>
        </w:rPr>
        <w:t>（项目名称）</w:t>
      </w:r>
      <w:r>
        <w:rPr>
          <w:rFonts w:hint="eastAsia"/>
          <w:sz w:val="28"/>
          <w:szCs w:val="28"/>
        </w:rPr>
        <w:t>采购活动，提供的服务全部由符合政策要求的中小企业承接。相关企业（含联合体中的中小企业、签订分包意向协议的中小企业）的具体情况如下：</w:t>
      </w:r>
    </w:p>
    <w:p w14:paraId="281BD39E">
      <w:pPr>
        <w:tabs>
          <w:tab w:val="left" w:pos="1384"/>
          <w:tab w:val="left" w:pos="4562"/>
          <w:tab w:val="left" w:pos="6803"/>
        </w:tabs>
        <w:spacing w:line="360" w:lineRule="auto"/>
        <w:ind w:left="0" w:right="-58" w:firstLine="560" w:firstLineChars="200"/>
        <w:contextualSpacing/>
        <w:rPr>
          <w:sz w:val="28"/>
          <w:szCs w:val="28"/>
        </w:rPr>
      </w:pPr>
      <w:r>
        <w:rPr>
          <w:rFonts w:hint="eastAsia"/>
          <w:sz w:val="28"/>
          <w:szCs w:val="28"/>
        </w:rPr>
        <w:t>1.</w:t>
      </w:r>
      <w:r>
        <w:rPr>
          <w:rFonts w:hint="eastAsia"/>
          <w:sz w:val="28"/>
          <w:szCs w:val="28"/>
          <w:u w:val="single"/>
        </w:rPr>
        <w:t>（标的名称）</w:t>
      </w:r>
      <w:r>
        <w:rPr>
          <w:rFonts w:hint="eastAsia"/>
          <w:sz w:val="28"/>
          <w:szCs w:val="28"/>
        </w:rPr>
        <w:t>，属于</w:t>
      </w:r>
      <w:r>
        <w:rPr>
          <w:rFonts w:hint="eastAsia"/>
          <w:sz w:val="28"/>
          <w:szCs w:val="28"/>
          <w:u w:val="single"/>
          <w:lang w:val="en-US" w:eastAsia="zh-CN"/>
        </w:rPr>
        <w:t xml:space="preserve"> </w:t>
      </w:r>
      <w:r>
        <w:rPr>
          <w:rFonts w:hint="eastAsia" w:ascii="宋体" w:hAnsi="宋体" w:eastAsia="宋体" w:cs="宋体"/>
          <w:b/>
          <w:bCs/>
          <w:sz w:val="28"/>
          <w:szCs w:val="28"/>
          <w:u w:val="single"/>
        </w:rPr>
        <w:t>其他未列明行业</w:t>
      </w:r>
      <w:r>
        <w:rPr>
          <w:rFonts w:hint="eastAsia" w:ascii="宋体" w:hAnsi="宋体" w:eastAsia="宋体" w:cs="宋体"/>
          <w:sz w:val="28"/>
          <w:szCs w:val="28"/>
          <w:u w:val="single"/>
          <w:lang w:val="en-US" w:eastAsia="zh-CN"/>
        </w:rPr>
        <w:t xml:space="preserve"> </w:t>
      </w:r>
      <w:r>
        <w:rPr>
          <w:rFonts w:hint="eastAsia"/>
          <w:sz w:val="28"/>
          <w:szCs w:val="28"/>
        </w:rPr>
        <w:t>；承接企业为</w:t>
      </w:r>
      <w:r>
        <w:rPr>
          <w:rFonts w:hint="eastAsia"/>
          <w:sz w:val="28"/>
          <w:szCs w:val="28"/>
          <w:u w:val="single"/>
        </w:rPr>
        <w:t>（企业名称）</w:t>
      </w:r>
      <w:r>
        <w:rPr>
          <w:rFonts w:hint="eastAsia"/>
          <w:sz w:val="28"/>
          <w:szCs w:val="28"/>
        </w:rPr>
        <w:t>，从业人员</w:t>
      </w:r>
      <w:r>
        <w:rPr>
          <w:rFonts w:hint="eastAsia"/>
          <w:sz w:val="28"/>
          <w:szCs w:val="28"/>
          <w:u w:val="single"/>
        </w:rPr>
        <w:t xml:space="preserve">  </w:t>
      </w:r>
      <w:r>
        <w:rPr>
          <w:rFonts w:hint="eastAsia"/>
          <w:sz w:val="28"/>
          <w:szCs w:val="28"/>
          <w:u w:val="single"/>
          <w:lang w:val="en-US"/>
        </w:rPr>
        <w:t xml:space="preserve">   </w:t>
      </w:r>
      <w:r>
        <w:rPr>
          <w:rFonts w:hint="eastAsia"/>
          <w:sz w:val="28"/>
          <w:szCs w:val="28"/>
          <w:u w:val="single"/>
        </w:rPr>
        <w:t xml:space="preserve">    </w:t>
      </w:r>
      <w:r>
        <w:rPr>
          <w:rFonts w:hint="eastAsia"/>
          <w:sz w:val="28"/>
          <w:szCs w:val="28"/>
        </w:rPr>
        <w:t>人，营业收入为</w:t>
      </w:r>
      <w:r>
        <w:rPr>
          <w:rFonts w:hint="eastAsia"/>
          <w:sz w:val="28"/>
          <w:szCs w:val="28"/>
          <w:u w:val="single"/>
        </w:rPr>
        <w:t xml:space="preserve">   </w:t>
      </w:r>
      <w:r>
        <w:rPr>
          <w:rFonts w:hint="eastAsia"/>
          <w:sz w:val="28"/>
          <w:szCs w:val="28"/>
          <w:u w:val="single"/>
          <w:lang w:val="en-US"/>
        </w:rPr>
        <w:t xml:space="preserve">  </w:t>
      </w:r>
      <w:r>
        <w:rPr>
          <w:rFonts w:hint="eastAsia"/>
          <w:sz w:val="28"/>
          <w:szCs w:val="28"/>
          <w:u w:val="single"/>
        </w:rPr>
        <w:t xml:space="preserve">   </w:t>
      </w:r>
      <w:r>
        <w:rPr>
          <w:rFonts w:hint="eastAsia"/>
          <w:sz w:val="28"/>
          <w:szCs w:val="28"/>
        </w:rPr>
        <w:t>万元，资产总额为</w:t>
      </w:r>
      <w:r>
        <w:rPr>
          <w:rFonts w:hint="eastAsia"/>
          <w:sz w:val="28"/>
          <w:szCs w:val="28"/>
          <w:u w:val="single"/>
        </w:rPr>
        <w:t xml:space="preserve">   </w:t>
      </w:r>
      <w:r>
        <w:rPr>
          <w:rFonts w:hint="eastAsia"/>
          <w:sz w:val="28"/>
          <w:szCs w:val="28"/>
          <w:u w:val="single"/>
          <w:lang w:val="en-US"/>
        </w:rPr>
        <w:t xml:space="preserve">  </w:t>
      </w:r>
      <w:r>
        <w:rPr>
          <w:rFonts w:hint="eastAsia"/>
          <w:sz w:val="28"/>
          <w:szCs w:val="28"/>
          <w:u w:val="single"/>
        </w:rPr>
        <w:t xml:space="preserve">   </w:t>
      </w:r>
      <w:r>
        <w:rPr>
          <w:rFonts w:hint="eastAsia"/>
          <w:sz w:val="28"/>
          <w:szCs w:val="28"/>
        </w:rPr>
        <w:t>万元，属于</w:t>
      </w:r>
      <w:r>
        <w:rPr>
          <w:rFonts w:hint="eastAsia"/>
          <w:sz w:val="28"/>
          <w:szCs w:val="28"/>
          <w:u w:val="single"/>
        </w:rPr>
        <w:t>（小型企业、微型企业）</w:t>
      </w:r>
      <w:r>
        <w:rPr>
          <w:rFonts w:hint="eastAsia"/>
          <w:sz w:val="28"/>
          <w:szCs w:val="28"/>
        </w:rPr>
        <w:t>；</w:t>
      </w:r>
    </w:p>
    <w:p w14:paraId="7F5720AB">
      <w:pPr>
        <w:pStyle w:val="11"/>
        <w:spacing w:line="360" w:lineRule="auto"/>
        <w:ind w:left="0" w:right="142" w:firstLine="560" w:firstLineChars="200"/>
        <w:contextualSpacing/>
        <w:rPr>
          <w:sz w:val="28"/>
          <w:szCs w:val="28"/>
        </w:rPr>
      </w:pPr>
      <w:r>
        <w:rPr>
          <w:rFonts w:hint="eastAsia"/>
          <w:sz w:val="28"/>
          <w:szCs w:val="28"/>
        </w:rPr>
        <w:t>以上企业，不属于大企业的分支机构，不存在控股股东为大企业的情形，也不存在与大企业的负责人为同一人的情形。</w:t>
      </w:r>
    </w:p>
    <w:p w14:paraId="6091290D">
      <w:pPr>
        <w:pStyle w:val="11"/>
        <w:spacing w:line="360" w:lineRule="auto"/>
        <w:ind w:left="0" w:right="142" w:firstLine="560" w:firstLineChars="200"/>
        <w:contextualSpacing/>
        <w:rPr>
          <w:sz w:val="28"/>
          <w:szCs w:val="28"/>
        </w:rPr>
      </w:pPr>
      <w:r>
        <w:rPr>
          <w:rFonts w:hint="eastAsia"/>
          <w:sz w:val="28"/>
          <w:szCs w:val="28"/>
        </w:rPr>
        <w:t>本企业对上述声明内容的真实性负责。如有虚假，将依法承担相应责任。</w:t>
      </w:r>
    </w:p>
    <w:p w14:paraId="0FA3CB9E">
      <w:pPr>
        <w:pStyle w:val="11"/>
        <w:spacing w:line="360" w:lineRule="auto"/>
        <w:ind w:left="-6" w:right="1808" w:firstLine="254" w:firstLineChars="91"/>
        <w:contextualSpacing/>
        <w:rPr>
          <w:sz w:val="28"/>
          <w:szCs w:val="28"/>
        </w:rPr>
      </w:pPr>
    </w:p>
    <w:p w14:paraId="5690E40B">
      <w:pPr>
        <w:spacing w:line="360" w:lineRule="auto"/>
        <w:ind w:left="-6" w:firstLine="254" w:firstLineChars="91"/>
        <w:rPr>
          <w:sz w:val="28"/>
          <w:szCs w:val="28"/>
          <w:u w:val="single"/>
          <w:lang w:val="en-US"/>
        </w:rPr>
      </w:pPr>
      <w:r>
        <w:rPr>
          <w:rFonts w:hint="eastAsia"/>
          <w:sz w:val="28"/>
          <w:szCs w:val="28"/>
        </w:rPr>
        <w:t>供应商名称（盖章）：</w:t>
      </w:r>
      <w:r>
        <w:rPr>
          <w:rFonts w:hint="eastAsia"/>
          <w:sz w:val="28"/>
          <w:szCs w:val="28"/>
          <w:u w:val="single"/>
          <w:lang w:val="en-US"/>
        </w:rPr>
        <w:t xml:space="preserve">                  </w:t>
      </w:r>
    </w:p>
    <w:p w14:paraId="4B7FD814">
      <w:pPr>
        <w:spacing w:line="360" w:lineRule="auto"/>
        <w:ind w:left="-6" w:firstLine="254" w:firstLineChars="91"/>
        <w:rPr>
          <w:sz w:val="28"/>
          <w:szCs w:val="28"/>
        </w:rPr>
      </w:pPr>
      <w:r>
        <w:rPr>
          <w:rFonts w:hint="eastAsia"/>
          <w:sz w:val="28"/>
          <w:szCs w:val="28"/>
        </w:rPr>
        <w:t>日期：</w:t>
      </w:r>
      <w:r>
        <w:rPr>
          <w:rFonts w:hint="eastAsia"/>
          <w:sz w:val="28"/>
          <w:szCs w:val="28"/>
          <w:u w:val="single"/>
        </w:rPr>
        <w:t xml:space="preserve">  </w:t>
      </w:r>
      <w:r>
        <w:rPr>
          <w:rFonts w:hint="eastAsia"/>
          <w:sz w:val="28"/>
          <w:szCs w:val="28"/>
          <w:u w:val="single"/>
          <w:lang w:val="en-US"/>
        </w:rPr>
        <w:t xml:space="preserve">     </w:t>
      </w:r>
      <w:r>
        <w:rPr>
          <w:rFonts w:hint="eastAsia"/>
          <w:sz w:val="28"/>
          <w:szCs w:val="28"/>
        </w:rPr>
        <w:t>年</w:t>
      </w:r>
      <w:r>
        <w:rPr>
          <w:rFonts w:hint="eastAsia"/>
          <w:sz w:val="28"/>
          <w:szCs w:val="28"/>
          <w:u w:val="single"/>
        </w:rPr>
        <w:t xml:space="preserve">  </w:t>
      </w:r>
      <w:r>
        <w:rPr>
          <w:rFonts w:hint="eastAsia"/>
          <w:sz w:val="28"/>
          <w:szCs w:val="28"/>
          <w:u w:val="single"/>
          <w:lang w:val="en-US"/>
        </w:rPr>
        <w:t xml:space="preserve">    </w:t>
      </w:r>
      <w:r>
        <w:rPr>
          <w:rFonts w:hint="eastAsia"/>
          <w:sz w:val="28"/>
          <w:szCs w:val="28"/>
        </w:rPr>
        <w:t>月</w:t>
      </w:r>
      <w:r>
        <w:rPr>
          <w:rFonts w:hint="eastAsia"/>
          <w:sz w:val="28"/>
          <w:szCs w:val="28"/>
          <w:u w:val="single"/>
        </w:rPr>
        <w:t xml:space="preserve">   </w:t>
      </w:r>
      <w:r>
        <w:rPr>
          <w:rFonts w:hint="eastAsia"/>
          <w:sz w:val="28"/>
          <w:szCs w:val="28"/>
          <w:u w:val="single"/>
          <w:lang w:val="en-US"/>
        </w:rPr>
        <w:t xml:space="preserve">    </w:t>
      </w:r>
      <w:r>
        <w:rPr>
          <w:rFonts w:hint="eastAsia"/>
          <w:sz w:val="28"/>
          <w:szCs w:val="28"/>
        </w:rPr>
        <w:t>日</w:t>
      </w:r>
    </w:p>
    <w:p w14:paraId="22A5E882">
      <w:pPr>
        <w:pStyle w:val="11"/>
        <w:spacing w:line="360" w:lineRule="auto"/>
        <w:ind w:left="-6" w:right="1808" w:firstLine="254" w:firstLineChars="91"/>
        <w:contextualSpacing/>
        <w:rPr>
          <w:sz w:val="28"/>
          <w:szCs w:val="28"/>
        </w:rPr>
      </w:pPr>
    </w:p>
    <w:p w14:paraId="43B5A1D3">
      <w:pPr>
        <w:pStyle w:val="21"/>
        <w:widowControl w:val="0"/>
        <w:adjustRightInd w:val="0"/>
        <w:snapToGrid w:val="0"/>
        <w:spacing w:before="0" w:beforeAutospacing="0" w:after="0" w:afterAutospacing="0" w:line="360" w:lineRule="auto"/>
        <w:ind w:left="-6" w:right="420" w:firstLine="254" w:firstLineChars="91"/>
        <w:rPr>
          <w:b/>
          <w:kern w:val="2"/>
          <w:sz w:val="28"/>
          <w:szCs w:val="28"/>
        </w:rPr>
      </w:pPr>
      <w:r>
        <w:rPr>
          <w:rFonts w:hint="eastAsia"/>
          <w:sz w:val="28"/>
          <w:szCs w:val="28"/>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2C69467">
      <w:pPr>
        <w:spacing w:line="360" w:lineRule="auto"/>
        <w:ind w:left="420"/>
        <w:jc w:val="center"/>
        <w:rPr>
          <w:rFonts w:ascii="黑体" w:eastAsia="黑体"/>
          <w:b/>
          <w:sz w:val="32"/>
          <w:szCs w:val="32"/>
        </w:rPr>
      </w:pPr>
      <w:r>
        <w:rPr>
          <w:rFonts w:ascii="黑体" w:eastAsia="黑体"/>
          <w:b/>
          <w:sz w:val="32"/>
          <w:szCs w:val="32"/>
        </w:rPr>
        <w:br w:type="page"/>
      </w:r>
    </w:p>
    <w:p w14:paraId="55C18BA8">
      <w:pPr>
        <w:spacing w:line="360" w:lineRule="auto"/>
        <w:jc w:val="center"/>
        <w:rPr>
          <w:b/>
          <w:spacing w:val="6"/>
          <w:sz w:val="32"/>
          <w:szCs w:val="32"/>
        </w:rPr>
      </w:pPr>
      <w:r>
        <w:rPr>
          <w:rFonts w:hint="eastAsia"/>
          <w:b/>
          <w:spacing w:val="6"/>
          <w:sz w:val="32"/>
          <w:szCs w:val="32"/>
        </w:rPr>
        <w:t>残疾人福利性单位声明函</w:t>
      </w:r>
    </w:p>
    <w:p w14:paraId="13FEFCC8">
      <w:pPr>
        <w:spacing w:line="360" w:lineRule="auto"/>
        <w:rPr>
          <w:b/>
          <w:spacing w:val="6"/>
          <w:sz w:val="30"/>
          <w:szCs w:val="30"/>
        </w:rPr>
      </w:pPr>
    </w:p>
    <w:p w14:paraId="7F6A9B36">
      <w:pPr>
        <w:spacing w:line="360" w:lineRule="auto"/>
        <w:ind w:firstLine="584" w:firstLineChars="200"/>
        <w:rPr>
          <w:spacing w:val="6"/>
          <w:sz w:val="28"/>
          <w:szCs w:val="28"/>
        </w:rPr>
      </w:pPr>
      <w:r>
        <w:rPr>
          <w:rFonts w:hint="eastAsia"/>
          <w:spacing w:val="6"/>
          <w:sz w:val="28"/>
          <w:szCs w:val="28"/>
        </w:rPr>
        <w:t>本单位郑重声明，根据《财政部 民政部 中国残疾人联合会关于促进残疾人就业政府采购政策的通知》（财库</w:t>
      </w:r>
      <w:r>
        <w:rPr>
          <w:rFonts w:hint="eastAsia"/>
          <w:sz w:val="28"/>
          <w:szCs w:val="28"/>
        </w:rPr>
        <w:t>〔2017〕141</w:t>
      </w:r>
      <w:r>
        <w:rPr>
          <w:rFonts w:hint="eastAsia"/>
          <w:spacing w:val="6"/>
          <w:sz w:val="28"/>
          <w:szCs w:val="28"/>
        </w:rPr>
        <w:t>号）的规定，本单位为符合条件的残疾人福利性单位，且本单位参加</w:t>
      </w:r>
      <w:r>
        <w:rPr>
          <w:rFonts w:hint="eastAsia"/>
          <w:spacing w:val="6"/>
          <w:sz w:val="28"/>
          <w:szCs w:val="28"/>
          <w:u w:val="single"/>
          <w:lang w:val="en-US" w:eastAsia="zh-CN"/>
        </w:rPr>
        <w:t xml:space="preserve">         </w:t>
      </w:r>
      <w:r>
        <w:rPr>
          <w:rFonts w:hint="eastAsia"/>
          <w:spacing w:val="6"/>
          <w:sz w:val="28"/>
          <w:szCs w:val="28"/>
        </w:rPr>
        <w:t>单位的</w:t>
      </w:r>
      <w:r>
        <w:rPr>
          <w:rFonts w:hint="eastAsia"/>
          <w:spacing w:val="6"/>
          <w:sz w:val="28"/>
          <w:szCs w:val="28"/>
          <w:u w:val="single"/>
          <w:lang w:val="en-US" w:eastAsia="zh-CN"/>
        </w:rPr>
        <w:t xml:space="preserve">         </w:t>
      </w:r>
      <w:r>
        <w:rPr>
          <w:rFonts w:hint="eastAsia"/>
          <w:spacing w:val="6"/>
          <w:sz w:val="28"/>
          <w:szCs w:val="28"/>
        </w:rPr>
        <w:t>项目采购活动提供本单位制造的货物（由本单位承担工程/提供服务），或者提供其他残疾人福利性单位制造的货物（不包括使用非残疾人福利性单位注册商标的货物）。</w:t>
      </w:r>
    </w:p>
    <w:p w14:paraId="7B84C61A">
      <w:pPr>
        <w:spacing w:line="360" w:lineRule="auto"/>
        <w:ind w:firstLine="584" w:firstLineChars="200"/>
        <w:rPr>
          <w:spacing w:val="6"/>
          <w:sz w:val="28"/>
          <w:szCs w:val="28"/>
        </w:rPr>
      </w:pPr>
      <w:r>
        <w:rPr>
          <w:rFonts w:hint="eastAsia"/>
          <w:spacing w:val="6"/>
          <w:sz w:val="28"/>
          <w:szCs w:val="28"/>
        </w:rPr>
        <w:t>本单位对上述声明的真实性负责。如有虚假，将依法承担相应责任。</w:t>
      </w:r>
    </w:p>
    <w:p w14:paraId="2900F228">
      <w:pPr>
        <w:spacing w:line="360" w:lineRule="auto"/>
        <w:rPr>
          <w:spacing w:val="6"/>
          <w:sz w:val="28"/>
          <w:szCs w:val="28"/>
        </w:rPr>
      </w:pPr>
    </w:p>
    <w:p w14:paraId="060D52D9">
      <w:pPr>
        <w:tabs>
          <w:tab w:val="left" w:pos="4860"/>
        </w:tabs>
        <w:spacing w:line="360" w:lineRule="auto"/>
        <w:ind w:right="1560"/>
        <w:jc w:val="center"/>
        <w:rPr>
          <w:spacing w:val="6"/>
          <w:sz w:val="28"/>
          <w:szCs w:val="28"/>
          <w:u w:val="single"/>
          <w:lang w:val="en-US"/>
        </w:rPr>
      </w:pPr>
      <w:r>
        <w:rPr>
          <w:rFonts w:hint="eastAsia"/>
          <w:spacing w:val="6"/>
          <w:sz w:val="28"/>
          <w:szCs w:val="28"/>
        </w:rPr>
        <w:t xml:space="preserve">               单位名称（盖章）：</w:t>
      </w:r>
      <w:r>
        <w:rPr>
          <w:rFonts w:hint="eastAsia"/>
          <w:spacing w:val="6"/>
          <w:sz w:val="28"/>
          <w:szCs w:val="28"/>
          <w:u w:val="single"/>
          <w:lang w:val="en-US"/>
        </w:rPr>
        <w:t xml:space="preserve">          </w:t>
      </w:r>
    </w:p>
    <w:p w14:paraId="2A53A1A1">
      <w:pPr>
        <w:widowControl/>
        <w:spacing w:before="100" w:beforeAutospacing="1" w:after="100" w:afterAutospacing="1" w:line="360" w:lineRule="auto"/>
        <w:rPr>
          <w:spacing w:val="6"/>
          <w:sz w:val="28"/>
          <w:szCs w:val="28"/>
          <w:u w:val="single"/>
          <w:lang w:val="en-US"/>
        </w:rPr>
      </w:pPr>
      <w:r>
        <w:rPr>
          <w:rFonts w:hint="eastAsia"/>
          <w:spacing w:val="6"/>
          <w:sz w:val="28"/>
          <w:szCs w:val="28"/>
        </w:rPr>
        <w:t xml:space="preserve">                        日  期：</w:t>
      </w:r>
      <w:r>
        <w:rPr>
          <w:rFonts w:hint="eastAsia"/>
          <w:spacing w:val="6"/>
          <w:sz w:val="28"/>
          <w:szCs w:val="28"/>
          <w:u w:val="single"/>
          <w:lang w:val="en-US"/>
        </w:rPr>
        <w:t xml:space="preserve">              </w:t>
      </w:r>
    </w:p>
    <w:p w14:paraId="64ED4625">
      <w:pPr>
        <w:widowControl/>
        <w:spacing w:line="400" w:lineRule="exact"/>
        <w:ind w:firstLine="442" w:firstLineChars="200"/>
        <w:rPr>
          <w:b/>
          <w:szCs w:val="21"/>
        </w:rPr>
      </w:pPr>
      <w:r>
        <w:rPr>
          <w:rFonts w:hint="eastAsia"/>
          <w:b/>
          <w:szCs w:val="21"/>
        </w:rPr>
        <w:t>说明：《残疾人福利性单位声明函》为参加政府采购活动的残疾人福利性单位应当提供，同时需提供符合《财政部 民政部 中国残疾人联合会关于促进残疾人就业政府采购政策的通知》（财库〔2017〕 141号）的规定享受政府采购支持政策的残疾人福利性单位应当同时满足以下条件的证明材料：</w:t>
      </w:r>
      <w:r>
        <w:rPr>
          <w:rFonts w:hint="eastAsia"/>
          <w:b/>
          <w:spacing w:val="6"/>
          <w:szCs w:val="21"/>
        </w:rPr>
        <w:t>（一）安置的残疾人占本单位在职职工人数的比例不低于25%（含25%），并且安置的残疾人人数不少于10人（含10人）；（二）依法与安置的每位残疾人签订了一年以上（含一年）的劳动合同或服务协议；（三）为安置的每位残疾人按月足额缴纳了基本养老保险、基本医疗保险、失业保险、工伤保险和生育保险等社会保险费；（四）通过银行等金融机构向安置的每位残疾人，按月支付了不低于单位所在区县适用的经省级人民政府批准的月最低工资标准的工资；（五）提供本单位制造的货物、承担的工程或者服务（以下简称产品），或者提供其他残疾人福利性单位制造的货物（不包括使用非残疾人福利性单位注册商标的货物）</w:t>
      </w:r>
      <w:r>
        <w:rPr>
          <w:rFonts w:hint="eastAsia"/>
          <w:b/>
          <w:spacing w:val="6"/>
          <w:sz w:val="24"/>
        </w:rPr>
        <w:t>。</w:t>
      </w:r>
    </w:p>
    <w:p w14:paraId="41E7D41E">
      <w:pPr>
        <w:spacing w:line="360" w:lineRule="auto"/>
      </w:pPr>
    </w:p>
    <w:p w14:paraId="16036635">
      <w:pPr>
        <w:pStyle w:val="13"/>
        <w:rPr>
          <w:rFonts w:ascii="Arial Unicode MS" w:hAnsi="Arial Unicode MS" w:eastAsia="Arial Unicode MS" w:cs="Arial Unicode MS"/>
          <w:sz w:val="32"/>
          <w:szCs w:val="32"/>
        </w:rPr>
      </w:pPr>
      <w:r>
        <w:rPr>
          <w:rFonts w:hAnsi="宋体"/>
          <w:b/>
          <w:bCs/>
          <w:sz w:val="32"/>
        </w:rPr>
        <w:br w:type="page"/>
      </w:r>
      <w:r>
        <w:rPr>
          <w:rFonts w:hint="eastAsia" w:ascii="Arial Unicode MS" w:hAnsi="Arial Unicode MS" w:eastAsia="Arial Unicode MS" w:cs="Arial Unicode MS"/>
          <w:sz w:val="32"/>
          <w:szCs w:val="32"/>
        </w:rPr>
        <w:t>附：</w:t>
      </w:r>
    </w:p>
    <w:p w14:paraId="6E05D1EB">
      <w:pPr>
        <w:jc w:val="center"/>
        <w:rPr>
          <w:rFonts w:cs="Arial Unicode MS"/>
          <w:sz w:val="44"/>
          <w:szCs w:val="44"/>
        </w:rPr>
      </w:pPr>
      <w:r>
        <w:rPr>
          <w:rFonts w:hint="eastAsia" w:cs="Arial Unicode MS"/>
          <w:sz w:val="44"/>
          <w:szCs w:val="44"/>
        </w:rPr>
        <w:t>中小微企业划型标准</w:t>
      </w:r>
    </w:p>
    <w:p w14:paraId="6880789A">
      <w:pPr>
        <w:ind w:left="1871"/>
        <w:rPr>
          <w:rFonts w:cs="Arial Unicode MS"/>
          <w:szCs w:val="21"/>
        </w:rPr>
      </w:pPr>
    </w:p>
    <w:tbl>
      <w:tblPr>
        <w:tblStyle w:val="25"/>
        <w:tblW w:w="8957" w:type="dxa"/>
        <w:jc w:val="center"/>
        <w:tblLayout w:type="fixed"/>
        <w:tblCellMar>
          <w:top w:w="0" w:type="dxa"/>
          <w:left w:w="108" w:type="dxa"/>
          <w:bottom w:w="0" w:type="dxa"/>
          <w:right w:w="108" w:type="dxa"/>
        </w:tblCellMar>
      </w:tblPr>
      <w:tblGrid>
        <w:gridCol w:w="1908"/>
        <w:gridCol w:w="1553"/>
        <w:gridCol w:w="1024"/>
        <w:gridCol w:w="1818"/>
        <w:gridCol w:w="1616"/>
        <w:gridCol w:w="1038"/>
      </w:tblGrid>
      <w:tr w14:paraId="0FE0C5E8">
        <w:tblPrEx>
          <w:tblCellMar>
            <w:top w:w="0" w:type="dxa"/>
            <w:left w:w="108" w:type="dxa"/>
            <w:bottom w:w="0" w:type="dxa"/>
            <w:right w:w="108" w:type="dxa"/>
          </w:tblCellMar>
        </w:tblPrEx>
        <w:trPr>
          <w:trHeight w:val="701" w:hRule="atLeast"/>
          <w:jc w:val="center"/>
        </w:trPr>
        <w:tc>
          <w:tcPr>
            <w:tcW w:w="1908" w:type="dxa"/>
            <w:tcBorders>
              <w:top w:val="single" w:color="auto" w:sz="4" w:space="0"/>
              <w:left w:val="single" w:color="auto" w:sz="4" w:space="0"/>
              <w:bottom w:val="single" w:color="auto" w:sz="4" w:space="0"/>
              <w:right w:val="single" w:color="auto" w:sz="4" w:space="0"/>
            </w:tcBorders>
            <w:vAlign w:val="center"/>
          </w:tcPr>
          <w:p w14:paraId="1BBB905A">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行业名称</w:t>
            </w:r>
          </w:p>
        </w:tc>
        <w:tc>
          <w:tcPr>
            <w:tcW w:w="1553" w:type="dxa"/>
            <w:tcBorders>
              <w:top w:val="single" w:color="auto" w:sz="4" w:space="0"/>
              <w:left w:val="nil"/>
              <w:bottom w:val="single" w:color="auto" w:sz="4" w:space="0"/>
              <w:right w:val="single" w:color="auto" w:sz="4" w:space="0"/>
            </w:tcBorders>
            <w:vAlign w:val="center"/>
          </w:tcPr>
          <w:p w14:paraId="70B14D41">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指标名称</w:t>
            </w:r>
          </w:p>
        </w:tc>
        <w:tc>
          <w:tcPr>
            <w:tcW w:w="1024" w:type="dxa"/>
            <w:tcBorders>
              <w:top w:val="single" w:color="auto" w:sz="4" w:space="0"/>
              <w:left w:val="nil"/>
              <w:bottom w:val="single" w:color="auto" w:sz="4" w:space="0"/>
              <w:right w:val="single" w:color="auto" w:sz="4" w:space="0"/>
            </w:tcBorders>
            <w:vAlign w:val="center"/>
          </w:tcPr>
          <w:p w14:paraId="4D7A8828">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计量单位</w:t>
            </w:r>
          </w:p>
        </w:tc>
        <w:tc>
          <w:tcPr>
            <w:tcW w:w="1818" w:type="dxa"/>
            <w:tcBorders>
              <w:top w:val="single" w:color="auto" w:sz="4" w:space="0"/>
              <w:left w:val="nil"/>
              <w:bottom w:val="single" w:color="auto" w:sz="4" w:space="0"/>
              <w:right w:val="single" w:color="auto" w:sz="4" w:space="0"/>
            </w:tcBorders>
            <w:vAlign w:val="center"/>
          </w:tcPr>
          <w:p w14:paraId="6C485B1A">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中型</w:t>
            </w:r>
          </w:p>
        </w:tc>
        <w:tc>
          <w:tcPr>
            <w:tcW w:w="1616" w:type="dxa"/>
            <w:tcBorders>
              <w:top w:val="single" w:color="auto" w:sz="4" w:space="0"/>
              <w:left w:val="nil"/>
              <w:bottom w:val="single" w:color="auto" w:sz="4" w:space="0"/>
              <w:right w:val="single" w:color="auto" w:sz="4" w:space="0"/>
            </w:tcBorders>
            <w:vAlign w:val="center"/>
          </w:tcPr>
          <w:p w14:paraId="23AA0302">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小型</w:t>
            </w:r>
          </w:p>
        </w:tc>
        <w:tc>
          <w:tcPr>
            <w:tcW w:w="1038" w:type="dxa"/>
            <w:tcBorders>
              <w:top w:val="single" w:color="auto" w:sz="4" w:space="0"/>
              <w:left w:val="nil"/>
              <w:bottom w:val="single" w:color="auto" w:sz="4" w:space="0"/>
              <w:right w:val="single" w:color="auto" w:sz="4" w:space="0"/>
            </w:tcBorders>
            <w:vAlign w:val="center"/>
          </w:tcPr>
          <w:p w14:paraId="58D4C9F5">
            <w:pPr>
              <w:widowControl/>
              <w:spacing w:before="0" w:beforeAutospacing="0" w:after="0" w:afterAutospacing="0"/>
              <w:ind w:left="0" w:right="0"/>
              <w:rPr>
                <w:rFonts w:hint="default" w:ascii="仿宋_GB2312" w:hAnsi="仿宋" w:eastAsia="仿宋_GB2312"/>
                <w:b/>
                <w:sz w:val="24"/>
              </w:rPr>
            </w:pPr>
            <w:r>
              <w:rPr>
                <w:rFonts w:hint="eastAsia" w:ascii="仿宋_GB2312" w:hAnsi="仿宋" w:eastAsia="仿宋_GB2312"/>
                <w:b/>
                <w:sz w:val="24"/>
              </w:rPr>
              <w:t>微型</w:t>
            </w:r>
          </w:p>
        </w:tc>
      </w:tr>
      <w:tr w14:paraId="51432275">
        <w:tblPrEx>
          <w:tblCellMar>
            <w:top w:w="0" w:type="dxa"/>
            <w:left w:w="108" w:type="dxa"/>
            <w:bottom w:w="0" w:type="dxa"/>
            <w:right w:w="108" w:type="dxa"/>
          </w:tblCellMar>
        </w:tblPrEx>
        <w:trPr>
          <w:trHeight w:val="275" w:hRule="atLeast"/>
          <w:jc w:val="center"/>
        </w:trPr>
        <w:tc>
          <w:tcPr>
            <w:tcW w:w="1908" w:type="dxa"/>
            <w:tcBorders>
              <w:top w:val="nil"/>
              <w:left w:val="single" w:color="auto" w:sz="4" w:space="0"/>
              <w:bottom w:val="single" w:color="auto" w:sz="4" w:space="0"/>
              <w:right w:val="single" w:color="auto" w:sz="4" w:space="0"/>
            </w:tcBorders>
            <w:vAlign w:val="bottom"/>
          </w:tcPr>
          <w:p w14:paraId="6EC6D3A7">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农、林、牧、渔</w:t>
            </w:r>
          </w:p>
        </w:tc>
        <w:tc>
          <w:tcPr>
            <w:tcW w:w="1553" w:type="dxa"/>
            <w:tcBorders>
              <w:top w:val="nil"/>
              <w:left w:val="nil"/>
              <w:bottom w:val="single" w:color="auto" w:sz="4" w:space="0"/>
              <w:right w:val="single" w:color="auto" w:sz="4" w:space="0"/>
            </w:tcBorders>
            <w:vAlign w:val="center"/>
          </w:tcPr>
          <w:p w14:paraId="786D0CE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11D234E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32DBA3C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500≤Y＜20000</w:t>
            </w:r>
          </w:p>
        </w:tc>
        <w:tc>
          <w:tcPr>
            <w:tcW w:w="1616" w:type="dxa"/>
            <w:tcBorders>
              <w:top w:val="nil"/>
              <w:left w:val="nil"/>
              <w:bottom w:val="single" w:color="auto" w:sz="4" w:space="0"/>
              <w:right w:val="single" w:color="auto" w:sz="4" w:space="0"/>
            </w:tcBorders>
            <w:vAlign w:val="center"/>
          </w:tcPr>
          <w:p w14:paraId="5353505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50≤Y＜500</w:t>
            </w:r>
          </w:p>
        </w:tc>
        <w:tc>
          <w:tcPr>
            <w:tcW w:w="1038" w:type="dxa"/>
            <w:tcBorders>
              <w:top w:val="nil"/>
              <w:left w:val="nil"/>
              <w:bottom w:val="single" w:color="auto" w:sz="4" w:space="0"/>
              <w:right w:val="single" w:color="auto" w:sz="4" w:space="0"/>
            </w:tcBorders>
            <w:vAlign w:val="center"/>
          </w:tcPr>
          <w:p w14:paraId="28CEFDE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Y＜50</w:t>
            </w:r>
          </w:p>
        </w:tc>
      </w:tr>
      <w:tr w14:paraId="4DB39FA9">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4EB6949A">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工业</w:t>
            </w:r>
          </w:p>
        </w:tc>
        <w:tc>
          <w:tcPr>
            <w:tcW w:w="1553" w:type="dxa"/>
            <w:tcBorders>
              <w:top w:val="nil"/>
              <w:left w:val="nil"/>
              <w:bottom w:val="single" w:color="auto" w:sz="4" w:space="0"/>
              <w:right w:val="single" w:color="auto" w:sz="4" w:space="0"/>
            </w:tcBorders>
            <w:vAlign w:val="center"/>
          </w:tcPr>
          <w:p w14:paraId="0CE9FC4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447BDDE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0C1BDBA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300≤X＜1000</w:t>
            </w:r>
          </w:p>
        </w:tc>
        <w:tc>
          <w:tcPr>
            <w:tcW w:w="1616" w:type="dxa"/>
            <w:tcBorders>
              <w:top w:val="nil"/>
              <w:left w:val="nil"/>
              <w:bottom w:val="single" w:color="auto" w:sz="4" w:space="0"/>
              <w:right w:val="single" w:color="auto" w:sz="4" w:space="0"/>
            </w:tcBorders>
            <w:vAlign w:val="center"/>
          </w:tcPr>
          <w:p w14:paraId="008A00F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20≤X＜300</w:t>
            </w:r>
          </w:p>
        </w:tc>
        <w:tc>
          <w:tcPr>
            <w:tcW w:w="1038" w:type="dxa"/>
            <w:tcBorders>
              <w:top w:val="nil"/>
              <w:left w:val="nil"/>
              <w:bottom w:val="single" w:color="auto" w:sz="4" w:space="0"/>
              <w:right w:val="single" w:color="auto" w:sz="4" w:space="0"/>
            </w:tcBorders>
            <w:vAlign w:val="center"/>
          </w:tcPr>
          <w:p w14:paraId="5115BEFD">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X＜20</w:t>
            </w:r>
          </w:p>
        </w:tc>
      </w:tr>
      <w:tr w14:paraId="0D698AA5">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4CB3F2C2">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0FD592E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68C49409">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74B5BC8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2000≤Y＜40000</w:t>
            </w:r>
          </w:p>
        </w:tc>
        <w:tc>
          <w:tcPr>
            <w:tcW w:w="1616" w:type="dxa"/>
            <w:tcBorders>
              <w:top w:val="nil"/>
              <w:left w:val="nil"/>
              <w:bottom w:val="single" w:color="auto" w:sz="4" w:space="0"/>
              <w:right w:val="single" w:color="auto" w:sz="4" w:space="0"/>
            </w:tcBorders>
            <w:vAlign w:val="center"/>
          </w:tcPr>
          <w:p w14:paraId="78E29E5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300≤Y＜2000</w:t>
            </w:r>
          </w:p>
        </w:tc>
        <w:tc>
          <w:tcPr>
            <w:tcW w:w="1038" w:type="dxa"/>
            <w:tcBorders>
              <w:top w:val="nil"/>
              <w:left w:val="nil"/>
              <w:bottom w:val="single" w:color="auto" w:sz="4" w:space="0"/>
              <w:right w:val="single" w:color="auto" w:sz="4" w:space="0"/>
            </w:tcBorders>
            <w:vAlign w:val="center"/>
          </w:tcPr>
          <w:p w14:paraId="73B3548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Y＜300</w:t>
            </w:r>
          </w:p>
        </w:tc>
      </w:tr>
      <w:tr w14:paraId="480FED21">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4C8ED6B2">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建筑业</w:t>
            </w:r>
          </w:p>
        </w:tc>
        <w:tc>
          <w:tcPr>
            <w:tcW w:w="1553" w:type="dxa"/>
            <w:tcBorders>
              <w:top w:val="nil"/>
              <w:left w:val="nil"/>
              <w:bottom w:val="single" w:color="auto" w:sz="4" w:space="0"/>
              <w:right w:val="single" w:color="auto" w:sz="4" w:space="0"/>
            </w:tcBorders>
            <w:vAlign w:val="center"/>
          </w:tcPr>
          <w:p w14:paraId="0CDB9DA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3E3C11E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08E8E9A9">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6000≤Y＜80000</w:t>
            </w:r>
          </w:p>
        </w:tc>
        <w:tc>
          <w:tcPr>
            <w:tcW w:w="1616" w:type="dxa"/>
            <w:tcBorders>
              <w:top w:val="nil"/>
              <w:left w:val="nil"/>
              <w:bottom w:val="single" w:color="auto" w:sz="4" w:space="0"/>
              <w:right w:val="single" w:color="auto" w:sz="4" w:space="0"/>
            </w:tcBorders>
            <w:vAlign w:val="center"/>
          </w:tcPr>
          <w:p w14:paraId="4D8755E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300≤Y＜6000</w:t>
            </w:r>
          </w:p>
        </w:tc>
        <w:tc>
          <w:tcPr>
            <w:tcW w:w="1038" w:type="dxa"/>
            <w:tcBorders>
              <w:top w:val="nil"/>
              <w:left w:val="nil"/>
              <w:bottom w:val="single" w:color="auto" w:sz="4" w:space="0"/>
              <w:right w:val="single" w:color="auto" w:sz="4" w:space="0"/>
            </w:tcBorders>
            <w:vAlign w:val="center"/>
          </w:tcPr>
          <w:p w14:paraId="49995DD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Y＜300</w:t>
            </w:r>
          </w:p>
        </w:tc>
      </w:tr>
      <w:tr w14:paraId="069C9269">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0608FE1B">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5441A6C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资产总额（Z）</w:t>
            </w:r>
          </w:p>
        </w:tc>
        <w:tc>
          <w:tcPr>
            <w:tcW w:w="1024" w:type="dxa"/>
            <w:tcBorders>
              <w:top w:val="nil"/>
              <w:left w:val="nil"/>
              <w:bottom w:val="single" w:color="auto" w:sz="4" w:space="0"/>
              <w:right w:val="single" w:color="auto" w:sz="4" w:space="0"/>
            </w:tcBorders>
            <w:vAlign w:val="center"/>
          </w:tcPr>
          <w:p w14:paraId="2640AC8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1252DD5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5000≤Z＜80000</w:t>
            </w:r>
          </w:p>
        </w:tc>
        <w:tc>
          <w:tcPr>
            <w:tcW w:w="1616" w:type="dxa"/>
            <w:tcBorders>
              <w:top w:val="nil"/>
              <w:left w:val="nil"/>
              <w:bottom w:val="single" w:color="auto" w:sz="4" w:space="0"/>
              <w:right w:val="single" w:color="auto" w:sz="4" w:space="0"/>
            </w:tcBorders>
            <w:vAlign w:val="center"/>
          </w:tcPr>
          <w:p w14:paraId="6969497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300≤Z＜5000</w:t>
            </w:r>
          </w:p>
        </w:tc>
        <w:tc>
          <w:tcPr>
            <w:tcW w:w="1038" w:type="dxa"/>
            <w:tcBorders>
              <w:top w:val="nil"/>
              <w:left w:val="nil"/>
              <w:bottom w:val="single" w:color="auto" w:sz="4" w:space="0"/>
              <w:right w:val="single" w:color="auto" w:sz="4" w:space="0"/>
            </w:tcBorders>
            <w:vAlign w:val="center"/>
          </w:tcPr>
          <w:p w14:paraId="205CABE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Z＜300</w:t>
            </w:r>
          </w:p>
        </w:tc>
      </w:tr>
      <w:tr w14:paraId="4E4AC117">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7C3A0E8F">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批发业</w:t>
            </w:r>
          </w:p>
        </w:tc>
        <w:tc>
          <w:tcPr>
            <w:tcW w:w="1553" w:type="dxa"/>
            <w:tcBorders>
              <w:top w:val="nil"/>
              <w:left w:val="nil"/>
              <w:bottom w:val="single" w:color="auto" w:sz="4" w:space="0"/>
              <w:right w:val="single" w:color="auto" w:sz="4" w:space="0"/>
            </w:tcBorders>
            <w:vAlign w:val="center"/>
          </w:tcPr>
          <w:p w14:paraId="47295A7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49F6F00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0223F9B9">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20≤X＜200</w:t>
            </w:r>
          </w:p>
        </w:tc>
        <w:tc>
          <w:tcPr>
            <w:tcW w:w="1616" w:type="dxa"/>
            <w:tcBorders>
              <w:top w:val="nil"/>
              <w:left w:val="nil"/>
              <w:bottom w:val="single" w:color="auto" w:sz="4" w:space="0"/>
              <w:right w:val="single" w:color="auto" w:sz="4" w:space="0"/>
            </w:tcBorders>
            <w:vAlign w:val="center"/>
          </w:tcPr>
          <w:p w14:paraId="04E68F4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5≤X＜20</w:t>
            </w:r>
          </w:p>
        </w:tc>
        <w:tc>
          <w:tcPr>
            <w:tcW w:w="1038" w:type="dxa"/>
            <w:tcBorders>
              <w:top w:val="nil"/>
              <w:left w:val="nil"/>
              <w:bottom w:val="single" w:color="auto" w:sz="4" w:space="0"/>
              <w:right w:val="single" w:color="auto" w:sz="4" w:space="0"/>
            </w:tcBorders>
            <w:vAlign w:val="center"/>
          </w:tcPr>
          <w:p w14:paraId="0FE9E9F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X＜5</w:t>
            </w:r>
          </w:p>
        </w:tc>
      </w:tr>
      <w:tr w14:paraId="21B63505">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6FF2EC7A">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63F8064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1468C9D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048204A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5000≤Y＜40000</w:t>
            </w:r>
          </w:p>
        </w:tc>
        <w:tc>
          <w:tcPr>
            <w:tcW w:w="1616" w:type="dxa"/>
            <w:tcBorders>
              <w:top w:val="nil"/>
              <w:left w:val="nil"/>
              <w:bottom w:val="single" w:color="auto" w:sz="4" w:space="0"/>
              <w:right w:val="single" w:color="auto" w:sz="4" w:space="0"/>
            </w:tcBorders>
            <w:vAlign w:val="center"/>
          </w:tcPr>
          <w:p w14:paraId="0017E7A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1000≤Y＜5000</w:t>
            </w:r>
          </w:p>
        </w:tc>
        <w:tc>
          <w:tcPr>
            <w:tcW w:w="1038" w:type="dxa"/>
            <w:tcBorders>
              <w:top w:val="nil"/>
              <w:left w:val="nil"/>
              <w:bottom w:val="single" w:color="auto" w:sz="4" w:space="0"/>
              <w:right w:val="single" w:color="auto" w:sz="4" w:space="0"/>
            </w:tcBorders>
            <w:vAlign w:val="center"/>
          </w:tcPr>
          <w:p w14:paraId="62764E7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Y＜1000</w:t>
            </w:r>
          </w:p>
        </w:tc>
      </w:tr>
      <w:tr w14:paraId="1856817D">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634CF12F">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零售业</w:t>
            </w:r>
          </w:p>
        </w:tc>
        <w:tc>
          <w:tcPr>
            <w:tcW w:w="1553" w:type="dxa"/>
            <w:tcBorders>
              <w:top w:val="nil"/>
              <w:left w:val="nil"/>
              <w:bottom w:val="single" w:color="auto" w:sz="4" w:space="0"/>
              <w:right w:val="single" w:color="auto" w:sz="4" w:space="0"/>
            </w:tcBorders>
            <w:vAlign w:val="center"/>
          </w:tcPr>
          <w:p w14:paraId="3B4AF15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5AF02CF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3F030D8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50≤X＜300</w:t>
            </w:r>
          </w:p>
        </w:tc>
        <w:tc>
          <w:tcPr>
            <w:tcW w:w="1616" w:type="dxa"/>
            <w:tcBorders>
              <w:top w:val="nil"/>
              <w:left w:val="nil"/>
              <w:bottom w:val="single" w:color="auto" w:sz="4" w:space="0"/>
              <w:right w:val="single" w:color="auto" w:sz="4" w:space="0"/>
            </w:tcBorders>
            <w:vAlign w:val="center"/>
          </w:tcPr>
          <w:p w14:paraId="0BE4A74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10≤X＜50</w:t>
            </w:r>
          </w:p>
        </w:tc>
        <w:tc>
          <w:tcPr>
            <w:tcW w:w="1038" w:type="dxa"/>
            <w:tcBorders>
              <w:top w:val="nil"/>
              <w:left w:val="nil"/>
              <w:bottom w:val="single" w:color="auto" w:sz="4" w:space="0"/>
              <w:right w:val="single" w:color="auto" w:sz="4" w:space="0"/>
            </w:tcBorders>
            <w:vAlign w:val="center"/>
          </w:tcPr>
          <w:p w14:paraId="478866E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7D20CB03">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7088F77B">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49B1F40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3EAA5AD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2BE7499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500≤Y＜20000</w:t>
            </w:r>
          </w:p>
        </w:tc>
        <w:tc>
          <w:tcPr>
            <w:tcW w:w="1616" w:type="dxa"/>
            <w:tcBorders>
              <w:top w:val="nil"/>
              <w:left w:val="nil"/>
              <w:bottom w:val="single" w:color="auto" w:sz="4" w:space="0"/>
              <w:right w:val="single" w:color="auto" w:sz="4" w:space="0"/>
            </w:tcBorders>
            <w:vAlign w:val="center"/>
          </w:tcPr>
          <w:p w14:paraId="24ABDE0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100≤Y＜500</w:t>
            </w:r>
          </w:p>
        </w:tc>
        <w:tc>
          <w:tcPr>
            <w:tcW w:w="1038" w:type="dxa"/>
            <w:tcBorders>
              <w:top w:val="nil"/>
              <w:left w:val="nil"/>
              <w:bottom w:val="single" w:color="auto" w:sz="4" w:space="0"/>
              <w:right w:val="single" w:color="auto" w:sz="4" w:space="0"/>
            </w:tcBorders>
            <w:vAlign w:val="center"/>
          </w:tcPr>
          <w:p w14:paraId="0FF126D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0E97FF5F">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5DAEADC4">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交通运输业</w:t>
            </w:r>
          </w:p>
        </w:tc>
        <w:tc>
          <w:tcPr>
            <w:tcW w:w="1553" w:type="dxa"/>
            <w:tcBorders>
              <w:top w:val="nil"/>
              <w:left w:val="nil"/>
              <w:bottom w:val="single" w:color="auto" w:sz="4" w:space="0"/>
              <w:right w:val="single" w:color="auto" w:sz="4" w:space="0"/>
            </w:tcBorders>
            <w:vAlign w:val="center"/>
          </w:tcPr>
          <w:p w14:paraId="350BCB7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4DE9BE6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4955DCB9">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300≤X＜1000</w:t>
            </w:r>
          </w:p>
        </w:tc>
        <w:tc>
          <w:tcPr>
            <w:tcW w:w="1616" w:type="dxa"/>
            <w:tcBorders>
              <w:top w:val="nil"/>
              <w:left w:val="nil"/>
              <w:bottom w:val="single" w:color="auto" w:sz="4" w:space="0"/>
              <w:right w:val="single" w:color="auto" w:sz="4" w:space="0"/>
            </w:tcBorders>
            <w:vAlign w:val="center"/>
          </w:tcPr>
          <w:p w14:paraId="5338FB6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20≤X＜300</w:t>
            </w:r>
          </w:p>
        </w:tc>
        <w:tc>
          <w:tcPr>
            <w:tcW w:w="1038" w:type="dxa"/>
            <w:tcBorders>
              <w:top w:val="nil"/>
              <w:left w:val="nil"/>
              <w:bottom w:val="single" w:color="auto" w:sz="4" w:space="0"/>
              <w:right w:val="single" w:color="auto" w:sz="4" w:space="0"/>
            </w:tcBorders>
            <w:vAlign w:val="center"/>
          </w:tcPr>
          <w:p w14:paraId="32FC627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X＜20</w:t>
            </w:r>
          </w:p>
        </w:tc>
      </w:tr>
      <w:tr w14:paraId="70540B8B">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63B0BF34">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08F4414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0338B22D">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35DB324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3000≤Y＜30000</w:t>
            </w:r>
          </w:p>
        </w:tc>
        <w:tc>
          <w:tcPr>
            <w:tcW w:w="1616" w:type="dxa"/>
            <w:tcBorders>
              <w:top w:val="nil"/>
              <w:left w:val="nil"/>
              <w:bottom w:val="single" w:color="auto" w:sz="4" w:space="0"/>
              <w:right w:val="single" w:color="auto" w:sz="4" w:space="0"/>
            </w:tcBorders>
            <w:vAlign w:val="center"/>
          </w:tcPr>
          <w:p w14:paraId="2A44C01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200≤Y＜3000</w:t>
            </w:r>
          </w:p>
        </w:tc>
        <w:tc>
          <w:tcPr>
            <w:tcW w:w="1038" w:type="dxa"/>
            <w:tcBorders>
              <w:top w:val="nil"/>
              <w:left w:val="nil"/>
              <w:bottom w:val="single" w:color="auto" w:sz="4" w:space="0"/>
              <w:right w:val="single" w:color="auto" w:sz="4" w:space="0"/>
            </w:tcBorders>
            <w:vAlign w:val="center"/>
          </w:tcPr>
          <w:p w14:paraId="0C0250D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Y＜200</w:t>
            </w:r>
          </w:p>
        </w:tc>
      </w:tr>
      <w:tr w14:paraId="7658D136">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3CE938B5">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仓储业</w:t>
            </w:r>
          </w:p>
        </w:tc>
        <w:tc>
          <w:tcPr>
            <w:tcW w:w="1553" w:type="dxa"/>
            <w:tcBorders>
              <w:top w:val="nil"/>
              <w:left w:val="nil"/>
              <w:bottom w:val="single" w:color="auto" w:sz="4" w:space="0"/>
              <w:right w:val="single" w:color="auto" w:sz="4" w:space="0"/>
            </w:tcBorders>
            <w:vAlign w:val="center"/>
          </w:tcPr>
          <w:p w14:paraId="66E1A29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5257EC3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64F2EF6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100≤X＜200</w:t>
            </w:r>
          </w:p>
        </w:tc>
        <w:tc>
          <w:tcPr>
            <w:tcW w:w="1616" w:type="dxa"/>
            <w:tcBorders>
              <w:top w:val="nil"/>
              <w:left w:val="nil"/>
              <w:bottom w:val="single" w:color="auto" w:sz="4" w:space="0"/>
              <w:right w:val="single" w:color="auto" w:sz="4" w:space="0"/>
            </w:tcBorders>
            <w:vAlign w:val="center"/>
          </w:tcPr>
          <w:p w14:paraId="3870D0C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20≤X＜100</w:t>
            </w:r>
          </w:p>
        </w:tc>
        <w:tc>
          <w:tcPr>
            <w:tcW w:w="1038" w:type="dxa"/>
            <w:tcBorders>
              <w:top w:val="nil"/>
              <w:left w:val="nil"/>
              <w:bottom w:val="single" w:color="auto" w:sz="4" w:space="0"/>
              <w:right w:val="single" w:color="auto" w:sz="4" w:space="0"/>
            </w:tcBorders>
            <w:vAlign w:val="center"/>
          </w:tcPr>
          <w:p w14:paraId="309DEF0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X＜20</w:t>
            </w:r>
          </w:p>
        </w:tc>
      </w:tr>
      <w:tr w14:paraId="1E68E8D0">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04276EE1">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652C82B1">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01C17E7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71E1E53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1000≤Y＜30000</w:t>
            </w:r>
          </w:p>
        </w:tc>
        <w:tc>
          <w:tcPr>
            <w:tcW w:w="1616" w:type="dxa"/>
            <w:tcBorders>
              <w:top w:val="nil"/>
              <w:left w:val="nil"/>
              <w:bottom w:val="single" w:color="auto" w:sz="4" w:space="0"/>
              <w:right w:val="single" w:color="auto" w:sz="4" w:space="0"/>
            </w:tcBorders>
            <w:vAlign w:val="center"/>
          </w:tcPr>
          <w:p w14:paraId="4762248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100≤Y＜1000</w:t>
            </w:r>
          </w:p>
        </w:tc>
        <w:tc>
          <w:tcPr>
            <w:tcW w:w="1038" w:type="dxa"/>
            <w:tcBorders>
              <w:top w:val="nil"/>
              <w:left w:val="nil"/>
              <w:bottom w:val="single" w:color="auto" w:sz="4" w:space="0"/>
              <w:right w:val="single" w:color="auto" w:sz="4" w:space="0"/>
            </w:tcBorders>
            <w:vAlign w:val="center"/>
          </w:tcPr>
          <w:p w14:paraId="58916A2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18751F74">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3F099B08">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邮政业</w:t>
            </w:r>
          </w:p>
        </w:tc>
        <w:tc>
          <w:tcPr>
            <w:tcW w:w="1553" w:type="dxa"/>
            <w:tcBorders>
              <w:top w:val="nil"/>
              <w:left w:val="nil"/>
              <w:bottom w:val="single" w:color="auto" w:sz="4" w:space="0"/>
              <w:right w:val="single" w:color="auto" w:sz="4" w:space="0"/>
            </w:tcBorders>
            <w:vAlign w:val="center"/>
          </w:tcPr>
          <w:p w14:paraId="48899D4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34863FB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4D09D7C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300≤X＜1000</w:t>
            </w:r>
          </w:p>
        </w:tc>
        <w:tc>
          <w:tcPr>
            <w:tcW w:w="1616" w:type="dxa"/>
            <w:tcBorders>
              <w:top w:val="nil"/>
              <w:left w:val="nil"/>
              <w:bottom w:val="single" w:color="auto" w:sz="4" w:space="0"/>
              <w:right w:val="single" w:color="auto" w:sz="4" w:space="0"/>
            </w:tcBorders>
            <w:vAlign w:val="center"/>
          </w:tcPr>
          <w:p w14:paraId="1D94621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20≤X＜300</w:t>
            </w:r>
          </w:p>
        </w:tc>
        <w:tc>
          <w:tcPr>
            <w:tcW w:w="1038" w:type="dxa"/>
            <w:tcBorders>
              <w:top w:val="nil"/>
              <w:left w:val="nil"/>
              <w:bottom w:val="single" w:color="auto" w:sz="4" w:space="0"/>
              <w:right w:val="single" w:color="auto" w:sz="4" w:space="0"/>
            </w:tcBorders>
            <w:vAlign w:val="center"/>
          </w:tcPr>
          <w:p w14:paraId="51C04AA1">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X＜20</w:t>
            </w:r>
          </w:p>
        </w:tc>
      </w:tr>
      <w:tr w14:paraId="3A05A1F7">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16898F64">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5021DC4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63522CC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40C356E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2000≤Y＜30000</w:t>
            </w:r>
          </w:p>
        </w:tc>
        <w:tc>
          <w:tcPr>
            <w:tcW w:w="1616" w:type="dxa"/>
            <w:tcBorders>
              <w:top w:val="nil"/>
              <w:left w:val="nil"/>
              <w:bottom w:val="single" w:color="auto" w:sz="4" w:space="0"/>
              <w:right w:val="single" w:color="auto" w:sz="4" w:space="0"/>
            </w:tcBorders>
            <w:vAlign w:val="center"/>
          </w:tcPr>
          <w:p w14:paraId="51BE7A8D">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100≤Y＜2000</w:t>
            </w:r>
          </w:p>
        </w:tc>
        <w:tc>
          <w:tcPr>
            <w:tcW w:w="1038" w:type="dxa"/>
            <w:tcBorders>
              <w:top w:val="nil"/>
              <w:left w:val="nil"/>
              <w:bottom w:val="single" w:color="auto" w:sz="4" w:space="0"/>
              <w:right w:val="single" w:color="auto" w:sz="4" w:space="0"/>
            </w:tcBorders>
            <w:vAlign w:val="center"/>
          </w:tcPr>
          <w:p w14:paraId="2F71E8D9">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2AF3E1E0">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5B7A95B7">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住宿业</w:t>
            </w:r>
          </w:p>
        </w:tc>
        <w:tc>
          <w:tcPr>
            <w:tcW w:w="1553" w:type="dxa"/>
            <w:tcBorders>
              <w:top w:val="nil"/>
              <w:left w:val="nil"/>
              <w:bottom w:val="single" w:color="auto" w:sz="4" w:space="0"/>
              <w:right w:val="single" w:color="auto" w:sz="4" w:space="0"/>
            </w:tcBorders>
            <w:vAlign w:val="center"/>
          </w:tcPr>
          <w:p w14:paraId="57D66AF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57DBB83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321AD79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616" w:type="dxa"/>
            <w:tcBorders>
              <w:top w:val="nil"/>
              <w:left w:val="nil"/>
              <w:bottom w:val="single" w:color="auto" w:sz="4" w:space="0"/>
              <w:right w:val="single" w:color="auto" w:sz="4" w:space="0"/>
            </w:tcBorders>
            <w:vAlign w:val="center"/>
          </w:tcPr>
          <w:p w14:paraId="77ED21E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0661C4F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6288E095">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3625D4F2">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361A01B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366B4F3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09221F3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2000≤Y＜10000</w:t>
            </w:r>
          </w:p>
        </w:tc>
        <w:tc>
          <w:tcPr>
            <w:tcW w:w="1616" w:type="dxa"/>
            <w:tcBorders>
              <w:top w:val="nil"/>
              <w:left w:val="nil"/>
              <w:bottom w:val="single" w:color="auto" w:sz="4" w:space="0"/>
              <w:right w:val="single" w:color="auto" w:sz="4" w:space="0"/>
            </w:tcBorders>
            <w:vAlign w:val="center"/>
          </w:tcPr>
          <w:p w14:paraId="5406837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100≤Y＜2000</w:t>
            </w:r>
          </w:p>
        </w:tc>
        <w:tc>
          <w:tcPr>
            <w:tcW w:w="1038" w:type="dxa"/>
            <w:tcBorders>
              <w:top w:val="nil"/>
              <w:left w:val="nil"/>
              <w:bottom w:val="single" w:color="auto" w:sz="4" w:space="0"/>
              <w:right w:val="single" w:color="auto" w:sz="4" w:space="0"/>
            </w:tcBorders>
            <w:vAlign w:val="center"/>
          </w:tcPr>
          <w:p w14:paraId="3A4FF19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17413ACA">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753391BE">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餐饮业</w:t>
            </w:r>
          </w:p>
        </w:tc>
        <w:tc>
          <w:tcPr>
            <w:tcW w:w="1553" w:type="dxa"/>
            <w:tcBorders>
              <w:top w:val="nil"/>
              <w:left w:val="nil"/>
              <w:bottom w:val="single" w:color="auto" w:sz="4" w:space="0"/>
              <w:right w:val="single" w:color="auto" w:sz="4" w:space="0"/>
            </w:tcBorders>
            <w:vAlign w:val="center"/>
          </w:tcPr>
          <w:p w14:paraId="49A88EA1">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1B2B24E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6F7D2B6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616" w:type="dxa"/>
            <w:tcBorders>
              <w:top w:val="nil"/>
              <w:left w:val="nil"/>
              <w:bottom w:val="single" w:color="auto" w:sz="4" w:space="0"/>
              <w:right w:val="single" w:color="auto" w:sz="4" w:space="0"/>
            </w:tcBorders>
            <w:vAlign w:val="center"/>
          </w:tcPr>
          <w:p w14:paraId="272F6F5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5B067B0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193610EA">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53C0B09C">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135650C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37B4FBD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79AEAA8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2000≤Y＜10000</w:t>
            </w:r>
          </w:p>
        </w:tc>
        <w:tc>
          <w:tcPr>
            <w:tcW w:w="1616" w:type="dxa"/>
            <w:tcBorders>
              <w:top w:val="nil"/>
              <w:left w:val="nil"/>
              <w:bottom w:val="single" w:color="auto" w:sz="4" w:space="0"/>
              <w:right w:val="single" w:color="auto" w:sz="4" w:space="0"/>
            </w:tcBorders>
            <w:vAlign w:val="center"/>
          </w:tcPr>
          <w:p w14:paraId="5C07F06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100≤Y＜2000</w:t>
            </w:r>
          </w:p>
        </w:tc>
        <w:tc>
          <w:tcPr>
            <w:tcW w:w="1038" w:type="dxa"/>
            <w:tcBorders>
              <w:top w:val="nil"/>
              <w:left w:val="nil"/>
              <w:bottom w:val="single" w:color="auto" w:sz="4" w:space="0"/>
              <w:right w:val="single" w:color="auto" w:sz="4" w:space="0"/>
            </w:tcBorders>
            <w:vAlign w:val="center"/>
          </w:tcPr>
          <w:p w14:paraId="2E2EF5B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415FA046">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64DFF5C8">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信息传输业</w:t>
            </w:r>
          </w:p>
        </w:tc>
        <w:tc>
          <w:tcPr>
            <w:tcW w:w="1553" w:type="dxa"/>
            <w:tcBorders>
              <w:top w:val="nil"/>
              <w:left w:val="nil"/>
              <w:bottom w:val="single" w:color="auto" w:sz="4" w:space="0"/>
              <w:right w:val="single" w:color="auto" w:sz="4" w:space="0"/>
            </w:tcBorders>
            <w:vAlign w:val="center"/>
          </w:tcPr>
          <w:p w14:paraId="554B311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470091D1">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4165AF3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100≤X＜2000</w:t>
            </w:r>
          </w:p>
        </w:tc>
        <w:tc>
          <w:tcPr>
            <w:tcW w:w="1616" w:type="dxa"/>
            <w:tcBorders>
              <w:top w:val="nil"/>
              <w:left w:val="nil"/>
              <w:bottom w:val="single" w:color="auto" w:sz="4" w:space="0"/>
              <w:right w:val="single" w:color="auto" w:sz="4" w:space="0"/>
            </w:tcBorders>
            <w:vAlign w:val="center"/>
          </w:tcPr>
          <w:p w14:paraId="023C83C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6E511DB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2D29C175">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51ED483D">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02F0A66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4C14086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4190000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1000≤Y＜100000</w:t>
            </w:r>
          </w:p>
        </w:tc>
        <w:tc>
          <w:tcPr>
            <w:tcW w:w="1616" w:type="dxa"/>
            <w:tcBorders>
              <w:top w:val="nil"/>
              <w:left w:val="nil"/>
              <w:bottom w:val="single" w:color="auto" w:sz="4" w:space="0"/>
              <w:right w:val="single" w:color="auto" w:sz="4" w:space="0"/>
            </w:tcBorders>
            <w:vAlign w:val="center"/>
          </w:tcPr>
          <w:p w14:paraId="681AE4C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100≤Y＜1000</w:t>
            </w:r>
          </w:p>
        </w:tc>
        <w:tc>
          <w:tcPr>
            <w:tcW w:w="1038" w:type="dxa"/>
            <w:tcBorders>
              <w:top w:val="nil"/>
              <w:left w:val="nil"/>
              <w:bottom w:val="single" w:color="auto" w:sz="4" w:space="0"/>
              <w:right w:val="single" w:color="auto" w:sz="4" w:space="0"/>
            </w:tcBorders>
            <w:vAlign w:val="center"/>
          </w:tcPr>
          <w:p w14:paraId="3632E70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7E453D20">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710EAE52">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软件和信息技术服务业</w:t>
            </w:r>
          </w:p>
        </w:tc>
        <w:tc>
          <w:tcPr>
            <w:tcW w:w="1553" w:type="dxa"/>
            <w:tcBorders>
              <w:top w:val="nil"/>
              <w:left w:val="nil"/>
              <w:bottom w:val="single" w:color="auto" w:sz="4" w:space="0"/>
              <w:right w:val="single" w:color="auto" w:sz="4" w:space="0"/>
            </w:tcBorders>
            <w:vAlign w:val="center"/>
          </w:tcPr>
          <w:p w14:paraId="3293F0E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5C7C4CD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5388149C">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616" w:type="dxa"/>
            <w:tcBorders>
              <w:top w:val="nil"/>
              <w:left w:val="nil"/>
              <w:bottom w:val="single" w:color="auto" w:sz="4" w:space="0"/>
              <w:right w:val="single" w:color="auto" w:sz="4" w:space="0"/>
            </w:tcBorders>
            <w:vAlign w:val="center"/>
          </w:tcPr>
          <w:p w14:paraId="1E1CE42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433AF63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2C2E2C8A">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363C5F34">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19D14AC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5C32FBD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7448F40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1000≤Y＜10000</w:t>
            </w:r>
          </w:p>
        </w:tc>
        <w:tc>
          <w:tcPr>
            <w:tcW w:w="1616" w:type="dxa"/>
            <w:tcBorders>
              <w:top w:val="nil"/>
              <w:left w:val="nil"/>
              <w:bottom w:val="single" w:color="auto" w:sz="4" w:space="0"/>
              <w:right w:val="single" w:color="auto" w:sz="4" w:space="0"/>
            </w:tcBorders>
            <w:vAlign w:val="center"/>
          </w:tcPr>
          <w:p w14:paraId="4B517AB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50≤Y＜1000</w:t>
            </w:r>
          </w:p>
        </w:tc>
        <w:tc>
          <w:tcPr>
            <w:tcW w:w="1038" w:type="dxa"/>
            <w:tcBorders>
              <w:top w:val="nil"/>
              <w:left w:val="nil"/>
              <w:bottom w:val="single" w:color="auto" w:sz="4" w:space="0"/>
              <w:right w:val="single" w:color="auto" w:sz="4" w:space="0"/>
            </w:tcBorders>
            <w:vAlign w:val="center"/>
          </w:tcPr>
          <w:p w14:paraId="4298155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Y＜50</w:t>
            </w:r>
          </w:p>
        </w:tc>
      </w:tr>
      <w:tr w14:paraId="5F8E9FB7">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2C8B8D7F">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房地产开发经营</w:t>
            </w:r>
          </w:p>
        </w:tc>
        <w:tc>
          <w:tcPr>
            <w:tcW w:w="1553" w:type="dxa"/>
            <w:tcBorders>
              <w:top w:val="nil"/>
              <w:left w:val="nil"/>
              <w:bottom w:val="single" w:color="auto" w:sz="4" w:space="0"/>
              <w:right w:val="single" w:color="auto" w:sz="4" w:space="0"/>
            </w:tcBorders>
            <w:vAlign w:val="center"/>
          </w:tcPr>
          <w:p w14:paraId="491A0C7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69DB664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4C38731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1000≤Y＜200000</w:t>
            </w:r>
          </w:p>
        </w:tc>
        <w:tc>
          <w:tcPr>
            <w:tcW w:w="1616" w:type="dxa"/>
            <w:tcBorders>
              <w:top w:val="nil"/>
              <w:left w:val="nil"/>
              <w:bottom w:val="single" w:color="auto" w:sz="4" w:space="0"/>
              <w:right w:val="single" w:color="auto" w:sz="4" w:space="0"/>
            </w:tcBorders>
            <w:vAlign w:val="center"/>
          </w:tcPr>
          <w:p w14:paraId="38B55B47">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100≤X＜1000</w:t>
            </w:r>
          </w:p>
        </w:tc>
        <w:tc>
          <w:tcPr>
            <w:tcW w:w="1038" w:type="dxa"/>
            <w:tcBorders>
              <w:top w:val="nil"/>
              <w:left w:val="nil"/>
              <w:bottom w:val="single" w:color="auto" w:sz="4" w:space="0"/>
              <w:right w:val="single" w:color="auto" w:sz="4" w:space="0"/>
            </w:tcBorders>
            <w:vAlign w:val="center"/>
          </w:tcPr>
          <w:p w14:paraId="51DA841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X＜100</w:t>
            </w:r>
          </w:p>
        </w:tc>
      </w:tr>
      <w:tr w14:paraId="57AAB8DB">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2AEB25FF">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3C47AF0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资产总额（Z）</w:t>
            </w:r>
          </w:p>
        </w:tc>
        <w:tc>
          <w:tcPr>
            <w:tcW w:w="1024" w:type="dxa"/>
            <w:tcBorders>
              <w:top w:val="nil"/>
              <w:left w:val="nil"/>
              <w:bottom w:val="single" w:color="auto" w:sz="4" w:space="0"/>
              <w:right w:val="single" w:color="auto" w:sz="4" w:space="0"/>
            </w:tcBorders>
            <w:vAlign w:val="center"/>
          </w:tcPr>
          <w:p w14:paraId="029F7F9D">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780E2FD2">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5000≤Z＜10000</w:t>
            </w:r>
          </w:p>
        </w:tc>
        <w:tc>
          <w:tcPr>
            <w:tcW w:w="1616" w:type="dxa"/>
            <w:tcBorders>
              <w:top w:val="nil"/>
              <w:left w:val="nil"/>
              <w:bottom w:val="single" w:color="auto" w:sz="4" w:space="0"/>
              <w:right w:val="single" w:color="auto" w:sz="4" w:space="0"/>
            </w:tcBorders>
            <w:vAlign w:val="center"/>
          </w:tcPr>
          <w:p w14:paraId="4C49955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2000≤Y＜5000</w:t>
            </w:r>
          </w:p>
        </w:tc>
        <w:tc>
          <w:tcPr>
            <w:tcW w:w="1038" w:type="dxa"/>
            <w:tcBorders>
              <w:top w:val="nil"/>
              <w:left w:val="nil"/>
              <w:bottom w:val="single" w:color="auto" w:sz="4" w:space="0"/>
              <w:right w:val="single" w:color="auto" w:sz="4" w:space="0"/>
            </w:tcBorders>
            <w:vAlign w:val="center"/>
          </w:tcPr>
          <w:p w14:paraId="4D0D154B">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Y＜2000</w:t>
            </w:r>
          </w:p>
        </w:tc>
      </w:tr>
      <w:tr w14:paraId="346A5170">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66B1B3B8">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物业管理</w:t>
            </w:r>
          </w:p>
        </w:tc>
        <w:tc>
          <w:tcPr>
            <w:tcW w:w="1553" w:type="dxa"/>
            <w:tcBorders>
              <w:top w:val="nil"/>
              <w:left w:val="nil"/>
              <w:bottom w:val="single" w:color="auto" w:sz="4" w:space="0"/>
              <w:right w:val="single" w:color="auto" w:sz="4" w:space="0"/>
            </w:tcBorders>
            <w:vAlign w:val="center"/>
          </w:tcPr>
          <w:p w14:paraId="08F0980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307C3E8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3371B2B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300≤X＜1000</w:t>
            </w:r>
          </w:p>
        </w:tc>
        <w:tc>
          <w:tcPr>
            <w:tcW w:w="1616" w:type="dxa"/>
            <w:tcBorders>
              <w:top w:val="nil"/>
              <w:left w:val="nil"/>
              <w:bottom w:val="single" w:color="auto" w:sz="4" w:space="0"/>
              <w:right w:val="single" w:color="auto" w:sz="4" w:space="0"/>
            </w:tcBorders>
            <w:vAlign w:val="center"/>
          </w:tcPr>
          <w:p w14:paraId="0775275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038" w:type="dxa"/>
            <w:tcBorders>
              <w:top w:val="nil"/>
              <w:left w:val="nil"/>
              <w:bottom w:val="single" w:color="auto" w:sz="4" w:space="0"/>
              <w:right w:val="single" w:color="auto" w:sz="4" w:space="0"/>
            </w:tcBorders>
            <w:vAlign w:val="center"/>
          </w:tcPr>
          <w:p w14:paraId="40D41A4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X＜100</w:t>
            </w:r>
          </w:p>
        </w:tc>
      </w:tr>
      <w:tr w14:paraId="43961D6D">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4E428622">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1CED133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营业收入（Y）</w:t>
            </w:r>
          </w:p>
        </w:tc>
        <w:tc>
          <w:tcPr>
            <w:tcW w:w="1024" w:type="dxa"/>
            <w:tcBorders>
              <w:top w:val="nil"/>
              <w:left w:val="nil"/>
              <w:bottom w:val="single" w:color="auto" w:sz="4" w:space="0"/>
              <w:right w:val="single" w:color="auto" w:sz="4" w:space="0"/>
            </w:tcBorders>
            <w:vAlign w:val="center"/>
          </w:tcPr>
          <w:p w14:paraId="17831CA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23890B2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1000≤Y＜5000</w:t>
            </w:r>
          </w:p>
        </w:tc>
        <w:tc>
          <w:tcPr>
            <w:tcW w:w="1616" w:type="dxa"/>
            <w:tcBorders>
              <w:top w:val="nil"/>
              <w:left w:val="nil"/>
              <w:bottom w:val="single" w:color="auto" w:sz="4" w:space="0"/>
              <w:right w:val="single" w:color="auto" w:sz="4" w:space="0"/>
            </w:tcBorders>
            <w:vAlign w:val="center"/>
          </w:tcPr>
          <w:p w14:paraId="0F2081E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500≤Y＜1000</w:t>
            </w:r>
          </w:p>
        </w:tc>
        <w:tc>
          <w:tcPr>
            <w:tcW w:w="1038" w:type="dxa"/>
            <w:tcBorders>
              <w:top w:val="nil"/>
              <w:left w:val="nil"/>
              <w:bottom w:val="single" w:color="auto" w:sz="4" w:space="0"/>
              <w:right w:val="single" w:color="auto" w:sz="4" w:space="0"/>
            </w:tcBorders>
            <w:vAlign w:val="center"/>
          </w:tcPr>
          <w:p w14:paraId="2726430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Y＜500</w:t>
            </w:r>
          </w:p>
        </w:tc>
      </w:tr>
      <w:tr w14:paraId="0166B1DF">
        <w:tblPrEx>
          <w:tblCellMar>
            <w:top w:w="0" w:type="dxa"/>
            <w:left w:w="108" w:type="dxa"/>
            <w:bottom w:w="0" w:type="dxa"/>
            <w:right w:w="108" w:type="dxa"/>
          </w:tblCellMar>
        </w:tblPrEx>
        <w:trPr>
          <w:trHeight w:val="275" w:hRule="atLeast"/>
          <w:jc w:val="center"/>
        </w:trPr>
        <w:tc>
          <w:tcPr>
            <w:tcW w:w="1908" w:type="dxa"/>
            <w:vMerge w:val="restart"/>
            <w:tcBorders>
              <w:top w:val="nil"/>
              <w:left w:val="single" w:color="auto" w:sz="4" w:space="0"/>
              <w:bottom w:val="single" w:color="auto" w:sz="4" w:space="0"/>
              <w:right w:val="single" w:color="auto" w:sz="4" w:space="0"/>
            </w:tcBorders>
            <w:vAlign w:val="bottom"/>
          </w:tcPr>
          <w:p w14:paraId="467095C4">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租赁和商务服务业</w:t>
            </w:r>
          </w:p>
        </w:tc>
        <w:tc>
          <w:tcPr>
            <w:tcW w:w="1553" w:type="dxa"/>
            <w:tcBorders>
              <w:top w:val="nil"/>
              <w:left w:val="nil"/>
              <w:bottom w:val="single" w:color="auto" w:sz="4" w:space="0"/>
              <w:right w:val="single" w:color="auto" w:sz="4" w:space="0"/>
            </w:tcBorders>
            <w:vAlign w:val="center"/>
          </w:tcPr>
          <w:p w14:paraId="03389A4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2E3B0558">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6546F7B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616" w:type="dxa"/>
            <w:tcBorders>
              <w:top w:val="nil"/>
              <w:left w:val="nil"/>
              <w:bottom w:val="single" w:color="auto" w:sz="4" w:space="0"/>
              <w:right w:val="single" w:color="auto" w:sz="4" w:space="0"/>
            </w:tcBorders>
            <w:vAlign w:val="center"/>
          </w:tcPr>
          <w:p w14:paraId="7370C5A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45CAC74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r w14:paraId="100B0DDC">
        <w:tblPrEx>
          <w:tblCellMar>
            <w:top w:w="0" w:type="dxa"/>
            <w:left w:w="108" w:type="dxa"/>
            <w:bottom w:w="0" w:type="dxa"/>
            <w:right w:w="108" w:type="dxa"/>
          </w:tblCellMar>
        </w:tblPrEx>
        <w:trPr>
          <w:trHeight w:val="275" w:hRule="atLeast"/>
          <w:jc w:val="center"/>
        </w:trPr>
        <w:tc>
          <w:tcPr>
            <w:tcW w:w="1908" w:type="dxa"/>
            <w:vMerge w:val="continue"/>
            <w:tcBorders>
              <w:top w:val="nil"/>
              <w:left w:val="single" w:color="auto" w:sz="4" w:space="0"/>
              <w:bottom w:val="single" w:color="auto" w:sz="4" w:space="0"/>
              <w:right w:val="single" w:color="auto" w:sz="4" w:space="0"/>
            </w:tcBorders>
            <w:vAlign w:val="center"/>
          </w:tcPr>
          <w:p w14:paraId="025E4B58">
            <w:pPr>
              <w:widowControl/>
              <w:spacing w:before="0" w:beforeAutospacing="0" w:after="0" w:afterAutospacing="0"/>
              <w:ind w:left="0" w:right="0"/>
              <w:rPr>
                <w:rFonts w:hint="default" w:ascii="仿宋_GB2312" w:hAnsi="仿宋" w:eastAsia="仿宋_GB2312"/>
                <w:b/>
                <w:bCs/>
                <w:sz w:val="18"/>
                <w:szCs w:val="18"/>
              </w:rPr>
            </w:pPr>
          </w:p>
        </w:tc>
        <w:tc>
          <w:tcPr>
            <w:tcW w:w="1553" w:type="dxa"/>
            <w:tcBorders>
              <w:top w:val="nil"/>
              <w:left w:val="nil"/>
              <w:bottom w:val="single" w:color="auto" w:sz="4" w:space="0"/>
              <w:right w:val="single" w:color="auto" w:sz="4" w:space="0"/>
            </w:tcBorders>
            <w:vAlign w:val="center"/>
          </w:tcPr>
          <w:p w14:paraId="0F8CA70A">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资产总额（Z）</w:t>
            </w:r>
          </w:p>
        </w:tc>
        <w:tc>
          <w:tcPr>
            <w:tcW w:w="1024" w:type="dxa"/>
            <w:tcBorders>
              <w:top w:val="nil"/>
              <w:left w:val="nil"/>
              <w:bottom w:val="single" w:color="auto" w:sz="4" w:space="0"/>
              <w:right w:val="single" w:color="auto" w:sz="4" w:space="0"/>
            </w:tcBorders>
            <w:vAlign w:val="center"/>
          </w:tcPr>
          <w:p w14:paraId="364AC13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万元</w:t>
            </w:r>
          </w:p>
        </w:tc>
        <w:tc>
          <w:tcPr>
            <w:tcW w:w="1818" w:type="dxa"/>
            <w:tcBorders>
              <w:top w:val="nil"/>
              <w:left w:val="nil"/>
              <w:bottom w:val="single" w:color="auto" w:sz="4" w:space="0"/>
              <w:right w:val="single" w:color="auto" w:sz="4" w:space="0"/>
            </w:tcBorders>
            <w:vAlign w:val="center"/>
          </w:tcPr>
          <w:p w14:paraId="14ADBD3E">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8000≤Z＜120000</w:t>
            </w:r>
          </w:p>
        </w:tc>
        <w:tc>
          <w:tcPr>
            <w:tcW w:w="1616" w:type="dxa"/>
            <w:tcBorders>
              <w:top w:val="nil"/>
              <w:left w:val="nil"/>
              <w:bottom w:val="single" w:color="auto" w:sz="4" w:space="0"/>
              <w:right w:val="single" w:color="auto" w:sz="4" w:space="0"/>
            </w:tcBorders>
            <w:vAlign w:val="center"/>
          </w:tcPr>
          <w:p w14:paraId="49CA1270">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100≤Z＜8000</w:t>
            </w:r>
          </w:p>
        </w:tc>
        <w:tc>
          <w:tcPr>
            <w:tcW w:w="1038" w:type="dxa"/>
            <w:tcBorders>
              <w:top w:val="nil"/>
              <w:left w:val="nil"/>
              <w:bottom w:val="single" w:color="auto" w:sz="4" w:space="0"/>
              <w:right w:val="single" w:color="auto" w:sz="4" w:space="0"/>
            </w:tcBorders>
            <w:vAlign w:val="center"/>
          </w:tcPr>
          <w:p w14:paraId="4A08B166">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Y＜100</w:t>
            </w:r>
          </w:p>
        </w:tc>
      </w:tr>
      <w:tr w14:paraId="7F2B00D8">
        <w:tblPrEx>
          <w:tblCellMar>
            <w:top w:w="0" w:type="dxa"/>
            <w:left w:w="108" w:type="dxa"/>
            <w:bottom w:w="0" w:type="dxa"/>
            <w:right w:w="108" w:type="dxa"/>
          </w:tblCellMar>
        </w:tblPrEx>
        <w:trPr>
          <w:trHeight w:val="296" w:hRule="atLeast"/>
          <w:jc w:val="center"/>
        </w:trPr>
        <w:tc>
          <w:tcPr>
            <w:tcW w:w="1908" w:type="dxa"/>
            <w:tcBorders>
              <w:top w:val="nil"/>
              <w:left w:val="single" w:color="auto" w:sz="4" w:space="0"/>
              <w:bottom w:val="single" w:color="auto" w:sz="4" w:space="0"/>
              <w:right w:val="single" w:color="auto" w:sz="4" w:space="0"/>
            </w:tcBorders>
            <w:vAlign w:val="bottom"/>
          </w:tcPr>
          <w:p w14:paraId="6DEF32FE">
            <w:pPr>
              <w:widowControl/>
              <w:spacing w:before="0" w:beforeAutospacing="0" w:after="0" w:afterAutospacing="0"/>
              <w:ind w:left="0" w:right="0"/>
              <w:jc w:val="center"/>
              <w:rPr>
                <w:rFonts w:hint="default" w:ascii="仿宋_GB2312" w:hAnsi="仿宋" w:eastAsia="仿宋_GB2312"/>
                <w:b/>
                <w:bCs/>
                <w:sz w:val="18"/>
                <w:szCs w:val="18"/>
              </w:rPr>
            </w:pPr>
            <w:r>
              <w:rPr>
                <w:rFonts w:hint="eastAsia" w:ascii="仿宋_GB2312" w:hAnsi="仿宋" w:eastAsia="仿宋_GB2312"/>
                <w:b/>
                <w:bCs/>
                <w:sz w:val="18"/>
                <w:szCs w:val="18"/>
              </w:rPr>
              <w:t>其他未列明行业</w:t>
            </w:r>
          </w:p>
        </w:tc>
        <w:tc>
          <w:tcPr>
            <w:tcW w:w="1553" w:type="dxa"/>
            <w:tcBorders>
              <w:top w:val="nil"/>
              <w:left w:val="nil"/>
              <w:bottom w:val="single" w:color="auto" w:sz="4" w:space="0"/>
              <w:right w:val="single" w:color="auto" w:sz="4" w:space="0"/>
            </w:tcBorders>
            <w:vAlign w:val="center"/>
          </w:tcPr>
          <w:p w14:paraId="75721D0F">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从业人员（X）</w:t>
            </w:r>
          </w:p>
        </w:tc>
        <w:tc>
          <w:tcPr>
            <w:tcW w:w="1024" w:type="dxa"/>
            <w:tcBorders>
              <w:top w:val="nil"/>
              <w:left w:val="nil"/>
              <w:bottom w:val="single" w:color="auto" w:sz="4" w:space="0"/>
              <w:right w:val="single" w:color="auto" w:sz="4" w:space="0"/>
            </w:tcBorders>
            <w:vAlign w:val="center"/>
          </w:tcPr>
          <w:p w14:paraId="700AAFF4">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人</w:t>
            </w:r>
          </w:p>
        </w:tc>
        <w:tc>
          <w:tcPr>
            <w:tcW w:w="1818" w:type="dxa"/>
            <w:tcBorders>
              <w:top w:val="nil"/>
              <w:left w:val="nil"/>
              <w:bottom w:val="single" w:color="auto" w:sz="4" w:space="0"/>
              <w:right w:val="single" w:color="auto" w:sz="4" w:space="0"/>
            </w:tcBorders>
            <w:vAlign w:val="center"/>
          </w:tcPr>
          <w:p w14:paraId="187EE6E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100≤X＜300</w:t>
            </w:r>
          </w:p>
        </w:tc>
        <w:tc>
          <w:tcPr>
            <w:tcW w:w="1616" w:type="dxa"/>
            <w:tcBorders>
              <w:top w:val="nil"/>
              <w:left w:val="nil"/>
              <w:bottom w:val="single" w:color="auto" w:sz="4" w:space="0"/>
              <w:right w:val="single" w:color="auto" w:sz="4" w:space="0"/>
            </w:tcBorders>
            <w:vAlign w:val="center"/>
          </w:tcPr>
          <w:p w14:paraId="79ED4F55">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10≤X＜100</w:t>
            </w:r>
          </w:p>
        </w:tc>
        <w:tc>
          <w:tcPr>
            <w:tcW w:w="1038" w:type="dxa"/>
            <w:tcBorders>
              <w:top w:val="nil"/>
              <w:left w:val="nil"/>
              <w:bottom w:val="single" w:color="auto" w:sz="4" w:space="0"/>
              <w:right w:val="single" w:color="auto" w:sz="4" w:space="0"/>
            </w:tcBorders>
            <w:vAlign w:val="center"/>
          </w:tcPr>
          <w:p w14:paraId="3455DE03">
            <w:pPr>
              <w:widowControl/>
              <w:spacing w:before="0" w:beforeAutospacing="0" w:after="0" w:afterAutospacing="0"/>
              <w:ind w:left="0" w:right="0"/>
              <w:rPr>
                <w:rFonts w:hint="default" w:ascii="仿宋_GB2312" w:hAnsi="仿宋" w:eastAsia="仿宋_GB2312"/>
                <w:sz w:val="18"/>
                <w:szCs w:val="18"/>
              </w:rPr>
            </w:pPr>
            <w:r>
              <w:rPr>
                <w:rFonts w:hint="eastAsia" w:ascii="仿宋_GB2312" w:hAnsi="仿宋" w:eastAsia="仿宋_GB2312"/>
                <w:sz w:val="18"/>
                <w:szCs w:val="18"/>
              </w:rPr>
              <w:t>X＜10</w:t>
            </w:r>
          </w:p>
        </w:tc>
      </w:tr>
    </w:tbl>
    <w:p w14:paraId="0B30D964">
      <w:pPr>
        <w:spacing w:line="360" w:lineRule="auto"/>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3F75053">
      <w:pPr>
        <w:pStyle w:val="11"/>
        <w:rPr>
          <w:rFonts w:hint="default" w:eastAsia="宋体"/>
          <w:lang w:eastAsia="zh-CN"/>
        </w:rPr>
      </w:pPr>
    </w:p>
    <w:p w14:paraId="40E662E7">
      <w:pPr>
        <w:rPr>
          <w:rFonts w:hAnsi="宋体"/>
          <w:b/>
          <w:bCs/>
          <w:color w:val="auto"/>
          <w:sz w:val="32"/>
          <w:highlight w:val="none"/>
        </w:rPr>
      </w:pPr>
      <w:r>
        <w:rPr>
          <w:rFonts w:hAnsi="宋体"/>
          <w:b/>
          <w:bCs/>
          <w:color w:val="auto"/>
          <w:sz w:val="32"/>
          <w:highlight w:val="none"/>
        </w:rPr>
        <w:br w:type="page"/>
      </w:r>
    </w:p>
    <w:p w14:paraId="47FBF162">
      <w:pPr>
        <w:bidi w:val="0"/>
        <w:rPr>
          <w:rFonts w:hint="eastAsia"/>
          <w:color w:val="auto"/>
          <w:lang w:val="en-US" w:eastAsia="zh-CN"/>
        </w:rPr>
      </w:pPr>
      <w:bookmarkStart w:id="50" w:name="_Toc29859"/>
    </w:p>
    <w:p w14:paraId="164A80D5">
      <w:pPr>
        <w:pStyle w:val="3"/>
        <w:bidi w:val="0"/>
        <w:rPr>
          <w:rFonts w:hint="eastAsia" w:ascii="宋体" w:hAnsi="宋体" w:eastAsia="宋体" w:cs="宋体"/>
          <w:color w:val="auto"/>
          <w:sz w:val="30"/>
          <w:szCs w:val="30"/>
          <w:lang w:val="en-US" w:eastAsia="zh-CN"/>
        </w:rPr>
      </w:pPr>
      <w:bookmarkStart w:id="51" w:name="_Toc17523"/>
      <w:r>
        <w:rPr>
          <w:rFonts w:hint="eastAsia" w:ascii="宋体" w:hAnsi="宋体" w:eastAsia="宋体" w:cs="宋体"/>
          <w:color w:val="auto"/>
          <w:sz w:val="30"/>
          <w:szCs w:val="30"/>
          <w:lang w:val="en-US" w:eastAsia="zh-CN"/>
        </w:rPr>
        <w:t>第五章 合同主要条款</w:t>
      </w:r>
      <w:bookmarkEnd w:id="51"/>
    </w:p>
    <w:bookmarkEnd w:id="50"/>
    <w:p w14:paraId="2D42D841">
      <w:pPr>
        <w:jc w:val="center"/>
        <w:rPr>
          <w:rFonts w:hint="eastAsia" w:ascii="宋体" w:hAnsi="宋体"/>
          <w:color w:val="auto"/>
          <w:sz w:val="24"/>
        </w:rPr>
      </w:pPr>
      <w:bookmarkStart w:id="52" w:name="_Toc28326"/>
    </w:p>
    <w:p w14:paraId="1675E680">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color w:val="auto"/>
          <w:sz w:val="24"/>
          <w:szCs w:val="24"/>
        </w:rPr>
        <w:t>合同编号：</w:t>
      </w:r>
    </w:p>
    <w:p w14:paraId="7F6D437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auto"/>
          <w:sz w:val="24"/>
          <w:szCs w:val="24"/>
        </w:rPr>
      </w:pPr>
      <w:r>
        <w:rPr>
          <w:rFonts w:hint="eastAsia" w:ascii="方正小标宋简体" w:hAnsi="方正小标宋简体" w:eastAsia="方正小标宋简体" w:cs="方正小标宋简体"/>
          <w:color w:val="auto"/>
          <w:sz w:val="24"/>
          <w:szCs w:val="24"/>
        </w:rPr>
        <w:t>采购技术服务合同</w:t>
      </w:r>
    </w:p>
    <w:p w14:paraId="638FA532">
      <w:pPr>
        <w:pStyle w:val="11"/>
        <w:rPr>
          <w:rFonts w:hint="eastAsia" w:ascii="仿宋_GB2312" w:hAnsi="仿宋_GB2312" w:eastAsia="仿宋_GB2312" w:cs="仿宋_GB2312"/>
          <w:color w:val="auto"/>
          <w:sz w:val="24"/>
          <w:szCs w:val="24"/>
        </w:rPr>
      </w:pPr>
    </w:p>
    <w:tbl>
      <w:tblPr>
        <w:tblStyle w:val="26"/>
        <w:tblW w:w="504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2"/>
        <w:gridCol w:w="336"/>
        <w:gridCol w:w="7781"/>
      </w:tblGrid>
      <w:tr w14:paraId="38071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2FCB262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25"/>
                <w:w w:val="100"/>
                <w:kern w:val="0"/>
                <w:sz w:val="24"/>
                <w:szCs w:val="24"/>
                <w:fitText w:val="1400" w:id="1404785394"/>
              </w:rPr>
              <w:t>采购计划</w:t>
            </w:r>
            <w:r>
              <w:rPr>
                <w:rFonts w:hint="eastAsia" w:ascii="楷体" w:hAnsi="楷体" w:eastAsia="楷体" w:cs="楷体"/>
                <w:color w:val="auto"/>
                <w:spacing w:val="0"/>
                <w:w w:val="100"/>
                <w:kern w:val="0"/>
                <w:sz w:val="24"/>
                <w:szCs w:val="24"/>
                <w:fitText w:val="1400" w:id="1404785394"/>
              </w:rPr>
              <w:t>号</w:t>
            </w:r>
          </w:p>
        </w:tc>
        <w:tc>
          <w:tcPr>
            <w:tcW w:w="171" w:type="pct"/>
          </w:tcPr>
          <w:p w14:paraId="1A533AA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nil"/>
              <w:bottom w:val="single" w:color="auto" w:sz="4" w:space="0"/>
              <w:right w:val="nil"/>
            </w:tcBorders>
          </w:tcPr>
          <w:p w14:paraId="3F48DB3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74E8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vAlign w:val="bottom"/>
          </w:tcPr>
          <w:p w14:paraId="60B772B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22286357"/>
              </w:rPr>
              <w:t>项目名</w:t>
            </w:r>
            <w:r>
              <w:rPr>
                <w:rFonts w:hint="eastAsia" w:ascii="楷体" w:hAnsi="楷体" w:eastAsia="楷体" w:cs="楷体"/>
                <w:color w:val="auto"/>
                <w:spacing w:val="1"/>
                <w:kern w:val="0"/>
                <w:sz w:val="24"/>
                <w:szCs w:val="24"/>
                <w:fitText w:val="1400" w:id="22286357"/>
              </w:rPr>
              <w:t>称</w:t>
            </w:r>
          </w:p>
        </w:tc>
        <w:tc>
          <w:tcPr>
            <w:tcW w:w="171" w:type="pct"/>
            <w:tcBorders>
              <w:right w:val="nil"/>
            </w:tcBorders>
            <w:vAlign w:val="bottom"/>
          </w:tcPr>
          <w:p w14:paraId="2FADF4B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27D35C07">
            <w:pPr>
              <w:keepNext w:val="0"/>
              <w:keepLines w:val="0"/>
              <w:pageBreakBefore w:val="0"/>
              <w:widowControl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default" w:ascii="楷体" w:hAnsi="楷体" w:eastAsia="楷体" w:cs="楷体"/>
                <w:color w:val="auto"/>
                <w:kern w:val="0"/>
                <w:sz w:val="24"/>
                <w:szCs w:val="24"/>
                <w:vertAlign w:val="baseline"/>
              </w:rPr>
            </w:pPr>
          </w:p>
        </w:tc>
      </w:tr>
      <w:tr w14:paraId="6D485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72AACBC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642484573"/>
              </w:rPr>
              <w:t>项目编</w:t>
            </w:r>
            <w:r>
              <w:rPr>
                <w:rFonts w:hint="eastAsia" w:ascii="楷体" w:hAnsi="楷体" w:eastAsia="楷体" w:cs="楷体"/>
                <w:color w:val="auto"/>
                <w:spacing w:val="1"/>
                <w:kern w:val="0"/>
                <w:sz w:val="24"/>
                <w:szCs w:val="24"/>
                <w:fitText w:val="1400" w:id="1642484573"/>
              </w:rPr>
              <w:t>号</w:t>
            </w:r>
          </w:p>
        </w:tc>
        <w:tc>
          <w:tcPr>
            <w:tcW w:w="171" w:type="pct"/>
            <w:tcBorders>
              <w:right w:val="nil"/>
            </w:tcBorders>
          </w:tcPr>
          <w:p w14:paraId="628A94E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1C2454A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41A1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40A101E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293289109"/>
              </w:rPr>
              <w:t>签订地</w:t>
            </w:r>
            <w:r>
              <w:rPr>
                <w:rFonts w:hint="eastAsia" w:ascii="楷体" w:hAnsi="楷体" w:eastAsia="楷体" w:cs="楷体"/>
                <w:color w:val="auto"/>
                <w:spacing w:val="1"/>
                <w:kern w:val="0"/>
                <w:sz w:val="24"/>
                <w:szCs w:val="24"/>
                <w:fitText w:val="1400" w:id="1293289109"/>
              </w:rPr>
              <w:t>点</w:t>
            </w:r>
          </w:p>
        </w:tc>
        <w:tc>
          <w:tcPr>
            <w:tcW w:w="171" w:type="pct"/>
            <w:tcBorders>
              <w:right w:val="nil"/>
            </w:tcBorders>
          </w:tcPr>
          <w:p w14:paraId="4940A3A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1B71C68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55D5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78C7289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259350930"/>
              </w:rPr>
              <w:t>签订时</w:t>
            </w:r>
            <w:r>
              <w:rPr>
                <w:rFonts w:hint="eastAsia" w:ascii="楷体" w:hAnsi="楷体" w:eastAsia="楷体" w:cs="楷体"/>
                <w:color w:val="auto"/>
                <w:spacing w:val="1"/>
                <w:kern w:val="0"/>
                <w:sz w:val="24"/>
                <w:szCs w:val="24"/>
                <w:fitText w:val="1400" w:id="1259350930"/>
              </w:rPr>
              <w:t>间</w:t>
            </w:r>
          </w:p>
        </w:tc>
        <w:tc>
          <w:tcPr>
            <w:tcW w:w="171" w:type="pct"/>
            <w:tcBorders>
              <w:right w:val="nil"/>
            </w:tcBorders>
          </w:tcPr>
          <w:p w14:paraId="28C3C7A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2B260C6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08F3E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07794C9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1"/>
                <w:w w:val="83"/>
                <w:kern w:val="0"/>
                <w:sz w:val="24"/>
                <w:szCs w:val="24"/>
                <w:fitText w:val="1400" w:id="1386678515"/>
                <w:lang w:val="en-US" w:eastAsia="zh-CN"/>
              </w:rPr>
              <w:t>委托方（甲方</w:t>
            </w:r>
            <w:r>
              <w:rPr>
                <w:rFonts w:hint="eastAsia" w:ascii="楷体" w:hAnsi="楷体" w:eastAsia="楷体" w:cs="楷体"/>
                <w:color w:val="auto"/>
                <w:spacing w:val="-1"/>
                <w:w w:val="83"/>
                <w:kern w:val="0"/>
                <w:sz w:val="24"/>
                <w:szCs w:val="24"/>
                <w:fitText w:val="1400" w:id="1386678515"/>
                <w:lang w:val="en-US" w:eastAsia="zh-CN"/>
              </w:rPr>
              <w:t>）</w:t>
            </w:r>
          </w:p>
        </w:tc>
        <w:tc>
          <w:tcPr>
            <w:tcW w:w="171" w:type="pct"/>
            <w:tcBorders>
              <w:right w:val="nil"/>
            </w:tcBorders>
          </w:tcPr>
          <w:p w14:paraId="43A935A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252EA90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734A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3BD2851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170"/>
                <w:kern w:val="0"/>
                <w:sz w:val="24"/>
                <w:szCs w:val="24"/>
                <w:fitText w:val="1400" w:id="1239097891"/>
              </w:rPr>
              <w:t>住所</w:t>
            </w:r>
            <w:r>
              <w:rPr>
                <w:rFonts w:hint="eastAsia" w:ascii="楷体" w:hAnsi="楷体" w:eastAsia="楷体" w:cs="楷体"/>
                <w:color w:val="auto"/>
                <w:spacing w:val="0"/>
                <w:kern w:val="0"/>
                <w:sz w:val="24"/>
                <w:szCs w:val="24"/>
                <w:fitText w:val="1400" w:id="1239097891"/>
              </w:rPr>
              <w:t>地</w:t>
            </w:r>
          </w:p>
        </w:tc>
        <w:tc>
          <w:tcPr>
            <w:tcW w:w="171" w:type="pct"/>
            <w:tcBorders>
              <w:right w:val="nil"/>
            </w:tcBorders>
          </w:tcPr>
          <w:p w14:paraId="4A4A445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548F0E9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5A2F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633C0A6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25"/>
                <w:w w:val="100"/>
                <w:kern w:val="0"/>
                <w:sz w:val="24"/>
                <w:szCs w:val="24"/>
                <w:fitText w:val="1400" w:id="1666677849"/>
              </w:rPr>
              <w:t>法定代表</w:t>
            </w:r>
            <w:r>
              <w:rPr>
                <w:rFonts w:hint="eastAsia" w:ascii="楷体" w:hAnsi="楷体" w:eastAsia="楷体" w:cs="楷体"/>
                <w:color w:val="auto"/>
                <w:spacing w:val="0"/>
                <w:w w:val="100"/>
                <w:kern w:val="0"/>
                <w:sz w:val="24"/>
                <w:szCs w:val="24"/>
                <w:fitText w:val="1400" w:id="1666677849"/>
              </w:rPr>
              <w:t>人</w:t>
            </w:r>
          </w:p>
        </w:tc>
        <w:tc>
          <w:tcPr>
            <w:tcW w:w="171" w:type="pct"/>
            <w:tcBorders>
              <w:right w:val="nil"/>
            </w:tcBorders>
          </w:tcPr>
          <w:p w14:paraId="4C53D1D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6EEEBF9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38CB0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407B9FD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25"/>
                <w:w w:val="100"/>
                <w:kern w:val="0"/>
                <w:sz w:val="24"/>
                <w:szCs w:val="24"/>
                <w:u w:val="none"/>
                <w:fitText w:val="1400" w:id="147587239"/>
                <w:lang w:val="en-US" w:eastAsia="zh-CN"/>
              </w:rPr>
              <w:t>项目联系</w:t>
            </w:r>
            <w:r>
              <w:rPr>
                <w:rFonts w:hint="eastAsia" w:ascii="楷体" w:hAnsi="楷体" w:eastAsia="楷体" w:cs="楷体"/>
                <w:color w:val="auto"/>
                <w:spacing w:val="0"/>
                <w:w w:val="100"/>
                <w:kern w:val="0"/>
                <w:sz w:val="24"/>
                <w:szCs w:val="24"/>
                <w:u w:val="none"/>
                <w:fitText w:val="1400" w:id="147587239"/>
                <w:lang w:val="en-US" w:eastAsia="zh-CN"/>
              </w:rPr>
              <w:t>人</w:t>
            </w:r>
          </w:p>
        </w:tc>
        <w:tc>
          <w:tcPr>
            <w:tcW w:w="171" w:type="pct"/>
            <w:tcBorders>
              <w:right w:val="nil"/>
            </w:tcBorders>
          </w:tcPr>
          <w:p w14:paraId="60D4A38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1F1D399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lang w:val="en-US"/>
              </w:rPr>
            </w:pPr>
          </w:p>
        </w:tc>
      </w:tr>
      <w:tr w14:paraId="2105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4FADB1C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097141070"/>
              </w:rPr>
              <w:t>通讯地</w:t>
            </w:r>
            <w:r>
              <w:rPr>
                <w:rFonts w:hint="eastAsia" w:ascii="楷体" w:hAnsi="楷体" w:eastAsia="楷体" w:cs="楷体"/>
                <w:color w:val="auto"/>
                <w:spacing w:val="1"/>
                <w:kern w:val="0"/>
                <w:sz w:val="24"/>
                <w:szCs w:val="24"/>
                <w:fitText w:val="1400" w:id="1097141070"/>
              </w:rPr>
              <w:t>址</w:t>
            </w:r>
          </w:p>
        </w:tc>
        <w:tc>
          <w:tcPr>
            <w:tcW w:w="171" w:type="pct"/>
            <w:tcBorders>
              <w:right w:val="nil"/>
            </w:tcBorders>
          </w:tcPr>
          <w:p w14:paraId="01AE6E3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60F1810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58CC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66FBD6A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017805559"/>
              </w:rPr>
              <w:t>联系电</w:t>
            </w:r>
            <w:r>
              <w:rPr>
                <w:rFonts w:hint="eastAsia" w:ascii="楷体" w:hAnsi="楷体" w:eastAsia="楷体" w:cs="楷体"/>
                <w:color w:val="auto"/>
                <w:spacing w:val="1"/>
                <w:kern w:val="0"/>
                <w:sz w:val="24"/>
                <w:szCs w:val="24"/>
                <w:fitText w:val="1400" w:id="1017805559"/>
              </w:rPr>
              <w:t>话</w:t>
            </w:r>
          </w:p>
        </w:tc>
        <w:tc>
          <w:tcPr>
            <w:tcW w:w="171" w:type="pct"/>
            <w:tcBorders>
              <w:right w:val="nil"/>
            </w:tcBorders>
          </w:tcPr>
          <w:p w14:paraId="1959F3F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1E89A5A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41903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354788A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763258504"/>
              </w:rPr>
              <w:t>电子邮</w:t>
            </w:r>
            <w:r>
              <w:rPr>
                <w:rFonts w:hint="eastAsia" w:ascii="楷体" w:hAnsi="楷体" w:eastAsia="楷体" w:cs="楷体"/>
                <w:color w:val="auto"/>
                <w:spacing w:val="1"/>
                <w:kern w:val="0"/>
                <w:sz w:val="24"/>
                <w:szCs w:val="24"/>
                <w:fitText w:val="1400" w:id="763258504"/>
              </w:rPr>
              <w:t>箱</w:t>
            </w:r>
          </w:p>
        </w:tc>
        <w:tc>
          <w:tcPr>
            <w:tcW w:w="171" w:type="pct"/>
            <w:tcBorders>
              <w:right w:val="nil"/>
            </w:tcBorders>
          </w:tcPr>
          <w:p w14:paraId="3856B14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5D711C5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vertAlign w:val="baseline"/>
              </w:rPr>
            </w:pPr>
          </w:p>
        </w:tc>
      </w:tr>
      <w:tr w14:paraId="05BC7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4A0D807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1"/>
                <w:w w:val="83"/>
                <w:kern w:val="0"/>
                <w:sz w:val="24"/>
                <w:szCs w:val="24"/>
                <w:fitText w:val="1400" w:id="1042749086"/>
                <w:lang w:val="en-US" w:eastAsia="zh-CN"/>
              </w:rPr>
              <w:t>受托方（乙方</w:t>
            </w:r>
            <w:r>
              <w:rPr>
                <w:rFonts w:hint="eastAsia" w:ascii="楷体" w:hAnsi="楷体" w:eastAsia="楷体" w:cs="楷体"/>
                <w:color w:val="auto"/>
                <w:spacing w:val="-1"/>
                <w:w w:val="83"/>
                <w:kern w:val="0"/>
                <w:sz w:val="24"/>
                <w:szCs w:val="24"/>
                <w:fitText w:val="1400" w:id="1042749086"/>
                <w:lang w:val="en-US" w:eastAsia="zh-CN"/>
              </w:rPr>
              <w:t>）</w:t>
            </w:r>
          </w:p>
        </w:tc>
        <w:tc>
          <w:tcPr>
            <w:tcW w:w="171" w:type="pct"/>
            <w:tcBorders>
              <w:right w:val="nil"/>
            </w:tcBorders>
          </w:tcPr>
          <w:p w14:paraId="1A74E5C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40F8300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r w14:paraId="1917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6CAD9BC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170"/>
                <w:kern w:val="0"/>
                <w:sz w:val="24"/>
                <w:szCs w:val="24"/>
                <w:fitText w:val="1400" w:id="1837172737"/>
              </w:rPr>
              <w:t>住所</w:t>
            </w:r>
            <w:r>
              <w:rPr>
                <w:rFonts w:hint="eastAsia" w:ascii="楷体" w:hAnsi="楷体" w:eastAsia="楷体" w:cs="楷体"/>
                <w:color w:val="auto"/>
                <w:spacing w:val="0"/>
                <w:kern w:val="0"/>
                <w:sz w:val="24"/>
                <w:szCs w:val="24"/>
                <w:fitText w:val="1400" w:id="1837172737"/>
              </w:rPr>
              <w:t>地</w:t>
            </w:r>
          </w:p>
        </w:tc>
        <w:tc>
          <w:tcPr>
            <w:tcW w:w="171" w:type="pct"/>
            <w:tcBorders>
              <w:right w:val="nil"/>
            </w:tcBorders>
          </w:tcPr>
          <w:p w14:paraId="4CCE341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34DB557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r w14:paraId="785B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74D5F77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25"/>
                <w:w w:val="100"/>
                <w:kern w:val="0"/>
                <w:sz w:val="24"/>
                <w:szCs w:val="24"/>
                <w:fitText w:val="1400" w:id="1724065418"/>
              </w:rPr>
              <w:t>法定代表</w:t>
            </w:r>
            <w:r>
              <w:rPr>
                <w:rFonts w:hint="eastAsia" w:ascii="楷体" w:hAnsi="楷体" w:eastAsia="楷体" w:cs="楷体"/>
                <w:color w:val="auto"/>
                <w:spacing w:val="0"/>
                <w:w w:val="100"/>
                <w:kern w:val="0"/>
                <w:sz w:val="24"/>
                <w:szCs w:val="24"/>
                <w:fitText w:val="1400" w:id="1724065418"/>
              </w:rPr>
              <w:t>人</w:t>
            </w:r>
          </w:p>
        </w:tc>
        <w:tc>
          <w:tcPr>
            <w:tcW w:w="171" w:type="pct"/>
            <w:tcBorders>
              <w:right w:val="nil"/>
            </w:tcBorders>
          </w:tcPr>
          <w:p w14:paraId="727B4E6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68B3B5A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r w14:paraId="7566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6CDF407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814033997"/>
              </w:rPr>
              <w:t>通讯地</w:t>
            </w:r>
            <w:r>
              <w:rPr>
                <w:rFonts w:hint="eastAsia" w:ascii="楷体" w:hAnsi="楷体" w:eastAsia="楷体" w:cs="楷体"/>
                <w:color w:val="auto"/>
                <w:spacing w:val="1"/>
                <w:kern w:val="0"/>
                <w:sz w:val="24"/>
                <w:szCs w:val="24"/>
                <w:fitText w:val="1400" w:id="814033997"/>
              </w:rPr>
              <w:t>址</w:t>
            </w:r>
          </w:p>
        </w:tc>
        <w:tc>
          <w:tcPr>
            <w:tcW w:w="171" w:type="pct"/>
            <w:tcBorders>
              <w:right w:val="nil"/>
            </w:tcBorders>
          </w:tcPr>
          <w:p w14:paraId="6284865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2DABC4E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r w14:paraId="3419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0B2AD13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887893768"/>
              </w:rPr>
              <w:t>联系电</w:t>
            </w:r>
            <w:r>
              <w:rPr>
                <w:rFonts w:hint="eastAsia" w:ascii="楷体" w:hAnsi="楷体" w:eastAsia="楷体" w:cs="楷体"/>
                <w:color w:val="auto"/>
                <w:spacing w:val="1"/>
                <w:kern w:val="0"/>
                <w:sz w:val="24"/>
                <w:szCs w:val="24"/>
                <w:fitText w:val="1400" w:id="887893768"/>
              </w:rPr>
              <w:t>话</w:t>
            </w:r>
          </w:p>
        </w:tc>
        <w:tc>
          <w:tcPr>
            <w:tcW w:w="171" w:type="pct"/>
            <w:tcBorders>
              <w:right w:val="nil"/>
            </w:tcBorders>
          </w:tcPr>
          <w:p w14:paraId="3080956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12D6453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r w14:paraId="7117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 w:type="pct"/>
          </w:tcPr>
          <w:p w14:paraId="273547A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楷体" w:hAnsi="楷体" w:eastAsia="楷体" w:cs="楷体"/>
                <w:color w:val="auto"/>
                <w:kern w:val="0"/>
                <w:sz w:val="24"/>
                <w:szCs w:val="24"/>
                <w:vertAlign w:val="baseline"/>
              </w:rPr>
            </w:pPr>
            <w:r>
              <w:rPr>
                <w:rFonts w:hint="eastAsia" w:ascii="楷体" w:hAnsi="楷体" w:eastAsia="楷体" w:cs="楷体"/>
                <w:color w:val="auto"/>
                <w:spacing w:val="73"/>
                <w:kern w:val="0"/>
                <w:sz w:val="24"/>
                <w:szCs w:val="24"/>
                <w:fitText w:val="1400" w:id="1948087850"/>
              </w:rPr>
              <w:t>电子邮</w:t>
            </w:r>
            <w:r>
              <w:rPr>
                <w:rFonts w:hint="eastAsia" w:ascii="楷体" w:hAnsi="楷体" w:eastAsia="楷体" w:cs="楷体"/>
                <w:color w:val="auto"/>
                <w:spacing w:val="1"/>
                <w:kern w:val="0"/>
                <w:sz w:val="24"/>
                <w:szCs w:val="24"/>
                <w:fitText w:val="1400" w:id="1948087850"/>
              </w:rPr>
              <w:t>箱</w:t>
            </w:r>
          </w:p>
        </w:tc>
        <w:tc>
          <w:tcPr>
            <w:tcW w:w="171" w:type="pct"/>
            <w:tcBorders>
              <w:right w:val="nil"/>
            </w:tcBorders>
          </w:tcPr>
          <w:p w14:paraId="34EFA66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rPr>
            </w:pPr>
            <w:r>
              <w:rPr>
                <w:rFonts w:hint="eastAsia" w:ascii="楷体" w:hAnsi="楷体" w:eastAsia="楷体" w:cs="楷体"/>
                <w:color w:val="auto"/>
                <w:kern w:val="0"/>
                <w:sz w:val="24"/>
                <w:szCs w:val="24"/>
              </w:rPr>
              <w:t>：</w:t>
            </w:r>
          </w:p>
        </w:tc>
        <w:tc>
          <w:tcPr>
            <w:tcW w:w="3974" w:type="pct"/>
            <w:tcBorders>
              <w:top w:val="single" w:color="auto" w:sz="4" w:space="0"/>
              <w:left w:val="nil"/>
              <w:bottom w:val="single" w:color="auto" w:sz="4" w:space="0"/>
              <w:right w:val="nil"/>
            </w:tcBorders>
          </w:tcPr>
          <w:p w14:paraId="088E5A7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 w:hAnsi="楷体" w:eastAsia="楷体" w:cs="楷体"/>
                <w:color w:val="auto"/>
                <w:kern w:val="0"/>
                <w:sz w:val="24"/>
                <w:szCs w:val="24"/>
                <w:u w:val="none"/>
              </w:rPr>
            </w:pPr>
          </w:p>
        </w:tc>
      </w:tr>
    </w:tbl>
    <w:p w14:paraId="694546C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根据《中华人民共和国民法典》等法律、法规规定，按照采购文件规定条款和响应文件及承诺，甲乙双方签订本合同。</w:t>
      </w:r>
    </w:p>
    <w:p w14:paraId="061C07A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第一条　合同标的</w:t>
      </w:r>
    </w:p>
    <w:p w14:paraId="041EA2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1.服务一览表</w:t>
      </w:r>
    </w:p>
    <w:tbl>
      <w:tblPr>
        <w:tblStyle w:val="25"/>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938"/>
        <w:gridCol w:w="851"/>
        <w:gridCol w:w="881"/>
        <w:gridCol w:w="988"/>
        <w:gridCol w:w="989"/>
      </w:tblGrid>
      <w:tr w14:paraId="45D3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501" w:type="pct"/>
            <w:tcBorders>
              <w:top w:val="single" w:color="auto" w:sz="4" w:space="0"/>
              <w:left w:val="single" w:color="auto" w:sz="4" w:space="0"/>
              <w:bottom w:val="single" w:color="auto" w:sz="4" w:space="0"/>
              <w:right w:val="single" w:color="auto" w:sz="4" w:space="0"/>
            </w:tcBorders>
            <w:vAlign w:val="center"/>
          </w:tcPr>
          <w:p w14:paraId="53C84EEA">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序号</w:t>
            </w:r>
          </w:p>
        </w:tc>
        <w:tc>
          <w:tcPr>
            <w:tcW w:w="2568" w:type="pct"/>
            <w:tcBorders>
              <w:top w:val="single" w:color="auto" w:sz="4" w:space="0"/>
              <w:left w:val="single" w:color="auto" w:sz="4" w:space="0"/>
              <w:bottom w:val="single" w:color="auto" w:sz="4" w:space="0"/>
              <w:right w:val="single" w:color="auto" w:sz="4" w:space="0"/>
            </w:tcBorders>
            <w:vAlign w:val="center"/>
          </w:tcPr>
          <w:p w14:paraId="3A185FEB">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服务内容</w:t>
            </w:r>
          </w:p>
        </w:tc>
        <w:tc>
          <w:tcPr>
            <w:tcW w:w="442" w:type="pct"/>
            <w:tcBorders>
              <w:top w:val="single" w:color="auto" w:sz="4" w:space="0"/>
              <w:left w:val="single" w:color="auto" w:sz="4" w:space="0"/>
              <w:bottom w:val="single" w:color="auto" w:sz="4" w:space="0"/>
              <w:right w:val="single" w:color="auto" w:sz="4" w:space="0"/>
            </w:tcBorders>
            <w:vAlign w:val="center"/>
          </w:tcPr>
          <w:p w14:paraId="4F3E48B8">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数量</w:t>
            </w:r>
          </w:p>
        </w:tc>
        <w:tc>
          <w:tcPr>
            <w:tcW w:w="458" w:type="pct"/>
            <w:tcBorders>
              <w:top w:val="single" w:color="auto" w:sz="4" w:space="0"/>
              <w:left w:val="single" w:color="auto" w:sz="4" w:space="0"/>
              <w:bottom w:val="single" w:color="auto" w:sz="4" w:space="0"/>
              <w:right w:val="single" w:color="auto" w:sz="4" w:space="0"/>
            </w:tcBorders>
            <w:vAlign w:val="center"/>
          </w:tcPr>
          <w:p w14:paraId="741A6CE0">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单位</w:t>
            </w:r>
          </w:p>
        </w:tc>
        <w:tc>
          <w:tcPr>
            <w:tcW w:w="513" w:type="pct"/>
            <w:tcBorders>
              <w:top w:val="single" w:color="auto" w:sz="4" w:space="0"/>
              <w:left w:val="single" w:color="auto" w:sz="4" w:space="0"/>
              <w:bottom w:val="single" w:color="auto" w:sz="4" w:space="0"/>
              <w:right w:val="single" w:color="auto" w:sz="4" w:space="0"/>
            </w:tcBorders>
            <w:vAlign w:val="center"/>
          </w:tcPr>
          <w:p w14:paraId="03ECB7A5">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单价（元）</w:t>
            </w:r>
          </w:p>
        </w:tc>
        <w:tc>
          <w:tcPr>
            <w:tcW w:w="514" w:type="pct"/>
            <w:tcBorders>
              <w:top w:val="single" w:color="auto" w:sz="4" w:space="0"/>
              <w:left w:val="single" w:color="auto" w:sz="4" w:space="0"/>
              <w:bottom w:val="single" w:color="auto" w:sz="4" w:space="0"/>
              <w:right w:val="single" w:color="auto" w:sz="4" w:space="0"/>
            </w:tcBorders>
            <w:vAlign w:val="center"/>
          </w:tcPr>
          <w:p w14:paraId="3143A45C">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楷体" w:hAnsi="楷体" w:eastAsia="楷体" w:cs="楷体"/>
                <w:color w:val="auto"/>
                <w:sz w:val="24"/>
                <w:szCs w:val="24"/>
              </w:rPr>
            </w:pPr>
            <w:r>
              <w:rPr>
                <w:rFonts w:hint="eastAsia" w:ascii="楷体" w:hAnsi="楷体" w:eastAsia="楷体" w:cs="楷体"/>
                <w:color w:val="auto"/>
                <w:sz w:val="24"/>
                <w:szCs w:val="24"/>
              </w:rPr>
              <w:t>总价（元）</w:t>
            </w:r>
          </w:p>
        </w:tc>
      </w:tr>
      <w:tr w14:paraId="5271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0" w:hRule="atLeast"/>
        </w:trPr>
        <w:tc>
          <w:tcPr>
            <w:tcW w:w="501" w:type="pct"/>
            <w:tcBorders>
              <w:top w:val="single" w:color="auto" w:sz="4" w:space="0"/>
              <w:left w:val="single" w:color="auto" w:sz="4" w:space="0"/>
              <w:bottom w:val="single" w:color="auto" w:sz="4" w:space="0"/>
              <w:right w:val="single" w:color="auto" w:sz="4" w:space="0"/>
            </w:tcBorders>
            <w:vAlign w:val="center"/>
          </w:tcPr>
          <w:p w14:paraId="6BC0D003">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jc w:val="center"/>
              <w:textAlignment w:val="auto"/>
              <w:rPr>
                <w:rFonts w:hint="default" w:ascii="楷体" w:hAnsi="楷体" w:eastAsia="楷体" w:cs="楷体"/>
                <w:color w:val="auto"/>
                <w:sz w:val="24"/>
                <w:szCs w:val="24"/>
              </w:rPr>
            </w:pPr>
            <w:bookmarkStart w:id="53" w:name="OLE_LINK1" w:colFirst="2" w:colLast="3"/>
            <w:r>
              <w:rPr>
                <w:rFonts w:hint="eastAsia" w:ascii="楷体" w:hAnsi="楷体" w:eastAsia="楷体" w:cs="楷体"/>
                <w:color w:val="auto"/>
                <w:sz w:val="24"/>
                <w:szCs w:val="24"/>
              </w:rPr>
              <w:t>1</w:t>
            </w:r>
          </w:p>
        </w:tc>
        <w:tc>
          <w:tcPr>
            <w:tcW w:w="2568" w:type="pct"/>
            <w:tcBorders>
              <w:top w:val="single" w:color="auto" w:sz="4" w:space="0"/>
              <w:left w:val="single" w:color="auto" w:sz="4" w:space="0"/>
              <w:bottom w:val="single" w:color="auto" w:sz="4" w:space="0"/>
              <w:right w:val="single" w:color="auto" w:sz="4" w:space="0"/>
            </w:tcBorders>
            <w:vAlign w:val="center"/>
          </w:tcPr>
          <w:p w14:paraId="73E56CB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20" w:lineRule="exact"/>
              <w:ind w:left="0" w:right="0"/>
              <w:jc w:val="both"/>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eastAsia="zh-CN"/>
              </w:rPr>
              <w:t>2025—2026</w:t>
            </w:r>
            <w:r>
              <w:rPr>
                <w:rFonts w:hint="default" w:ascii="楷体" w:hAnsi="楷体" w:eastAsia="楷体" w:cs="楷体"/>
                <w:color w:val="auto"/>
                <w:sz w:val="24"/>
                <w:szCs w:val="24"/>
              </w:rPr>
              <w:t>年度北海市区控市级环境空气和大气降水自动监测站运行维护服务</w:t>
            </w:r>
          </w:p>
        </w:tc>
        <w:tc>
          <w:tcPr>
            <w:tcW w:w="442" w:type="pct"/>
            <w:tcBorders>
              <w:top w:val="single" w:color="auto" w:sz="4" w:space="0"/>
              <w:left w:val="single" w:color="auto" w:sz="4" w:space="0"/>
              <w:bottom w:val="single" w:color="auto" w:sz="4" w:space="0"/>
              <w:right w:val="single" w:color="auto" w:sz="4" w:space="0"/>
            </w:tcBorders>
            <w:vAlign w:val="center"/>
          </w:tcPr>
          <w:p w14:paraId="09BE936E">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1</w:t>
            </w:r>
          </w:p>
        </w:tc>
        <w:tc>
          <w:tcPr>
            <w:tcW w:w="458" w:type="pct"/>
            <w:tcBorders>
              <w:top w:val="single" w:color="auto" w:sz="4" w:space="0"/>
              <w:left w:val="single" w:color="auto" w:sz="4" w:space="0"/>
              <w:bottom w:val="single" w:color="auto" w:sz="4" w:space="0"/>
              <w:right w:val="single" w:color="auto" w:sz="4" w:space="0"/>
            </w:tcBorders>
            <w:vAlign w:val="center"/>
          </w:tcPr>
          <w:p w14:paraId="51A50DB9">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套</w:t>
            </w:r>
          </w:p>
        </w:tc>
        <w:tc>
          <w:tcPr>
            <w:tcW w:w="513" w:type="pct"/>
            <w:tcBorders>
              <w:top w:val="single" w:color="auto" w:sz="4" w:space="0"/>
              <w:left w:val="single" w:color="auto" w:sz="4" w:space="0"/>
              <w:bottom w:val="single" w:color="auto" w:sz="4" w:space="0"/>
              <w:right w:val="single" w:color="auto" w:sz="4" w:space="0"/>
            </w:tcBorders>
            <w:vAlign w:val="center"/>
          </w:tcPr>
          <w:p w14:paraId="3B967A97">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textAlignment w:val="auto"/>
              <w:rPr>
                <w:rFonts w:hint="default" w:ascii="楷体" w:hAnsi="楷体" w:eastAsia="楷体" w:cs="楷体"/>
                <w:color w:val="auto"/>
                <w:sz w:val="24"/>
                <w:szCs w:val="24"/>
              </w:rPr>
            </w:pPr>
          </w:p>
        </w:tc>
        <w:tc>
          <w:tcPr>
            <w:tcW w:w="514" w:type="pct"/>
            <w:tcBorders>
              <w:top w:val="single" w:color="auto" w:sz="4" w:space="0"/>
              <w:left w:val="single" w:color="auto" w:sz="4" w:space="0"/>
              <w:bottom w:val="single" w:color="auto" w:sz="4" w:space="0"/>
              <w:right w:val="single" w:color="auto" w:sz="4" w:space="0"/>
            </w:tcBorders>
            <w:vAlign w:val="center"/>
          </w:tcPr>
          <w:p w14:paraId="6538C94A">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textAlignment w:val="auto"/>
              <w:rPr>
                <w:rFonts w:hint="default" w:ascii="楷体" w:hAnsi="楷体" w:eastAsia="楷体" w:cs="楷体"/>
                <w:color w:val="auto"/>
                <w:sz w:val="24"/>
                <w:szCs w:val="24"/>
              </w:rPr>
            </w:pPr>
          </w:p>
        </w:tc>
      </w:tr>
      <w:bookmarkEnd w:id="53"/>
      <w:tr w14:paraId="20B4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F8D62AC">
            <w:pPr>
              <w:keepNext w:val="0"/>
              <w:keepLines w:val="0"/>
              <w:pageBreakBefore w:val="0"/>
              <w:widowControl w:val="0"/>
              <w:kinsoku/>
              <w:wordWrap/>
              <w:overflowPunct/>
              <w:topLinePunct w:val="0"/>
              <w:autoSpaceDE/>
              <w:autoSpaceDN/>
              <w:bidi w:val="0"/>
              <w:spacing w:before="0" w:beforeAutospacing="0" w:after="0" w:afterAutospacing="0" w:line="480" w:lineRule="exact"/>
              <w:ind w:left="0" w:right="0"/>
              <w:textAlignment w:val="auto"/>
              <w:rPr>
                <w:rFonts w:hint="default" w:ascii="楷体" w:hAnsi="楷体" w:eastAsia="楷体" w:cs="楷体"/>
                <w:color w:val="auto"/>
                <w:sz w:val="24"/>
                <w:szCs w:val="24"/>
                <w:lang w:eastAsia="zh-CN"/>
              </w:rPr>
            </w:pPr>
            <w:r>
              <w:rPr>
                <w:rFonts w:hint="eastAsia" w:ascii="楷体" w:hAnsi="楷体" w:eastAsia="楷体" w:cs="楷体"/>
                <w:color w:val="auto"/>
                <w:sz w:val="24"/>
                <w:szCs w:val="24"/>
              </w:rPr>
              <w:t>合同合计金额（人民币，大写）：</w:t>
            </w:r>
            <w:r>
              <w:rPr>
                <w:rFonts w:hint="eastAsia" w:ascii="楷体" w:hAnsi="楷体" w:eastAsia="楷体" w:cs="楷体"/>
                <w:color w:val="auto"/>
                <w:sz w:val="24"/>
                <w:szCs w:val="24"/>
                <w:lang w:val="en-US" w:eastAsia="zh-CN"/>
              </w:rPr>
              <w:t xml:space="preserve">  </w:t>
            </w:r>
            <w:r>
              <w:rPr>
                <w:rFonts w:hint="eastAsia" w:ascii="仿宋" w:hAnsi="仿宋" w:eastAsia="仿宋" w:cs="仿宋"/>
                <w:i w:val="0"/>
                <w:iCs w:val="0"/>
                <w:color w:val="auto"/>
                <w:kern w:val="0"/>
                <w:sz w:val="24"/>
                <w:szCs w:val="24"/>
                <w:u w:val="none"/>
                <w:lang w:val="en-US" w:eastAsia="zh-CN" w:bidi="ar"/>
              </w:rPr>
              <w:t>，</w:t>
            </w:r>
            <w:r>
              <w:rPr>
                <w:rFonts w:hint="eastAsia" w:ascii="楷体" w:hAnsi="楷体" w:eastAsia="楷体" w:cs="楷体"/>
                <w:i w:val="0"/>
                <w:iCs w:val="0"/>
                <w:color w:val="auto"/>
                <w:kern w:val="2"/>
                <w:sz w:val="24"/>
                <w:szCs w:val="24"/>
                <w:u w:val="none"/>
                <w:lang w:val="en-US" w:eastAsia="zh-CN" w:bidi="ar"/>
              </w:rPr>
              <w:t>含  %税率的增值税。</w:t>
            </w:r>
          </w:p>
        </w:tc>
      </w:tr>
    </w:tbl>
    <w:p w14:paraId="6A5FA96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合同合计金额包括但不限于满足本次招标全部采购需求所应提供的服务，以及伴随的货物和工程（如有）的价格，包括但不限于服务、货物、工程的成本、运输（含保险）、安装（如有）、调试、检验、技术服务、培训、税费、版权使用费（如有）等所有费用。</w:t>
      </w:r>
    </w:p>
    <w:p w14:paraId="1BC9E9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第二条　质量保证</w:t>
      </w:r>
    </w:p>
    <w:p w14:paraId="0AC79DE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乙方所提供的服务、服务质量及服务内容必须与合同、采购文件、响应文件及承诺相一致，有国家强制性标准的，还必须符合国家强制性标准的规定，没有国家强制性标准但有其他标准的，必须符合其他标准的规定。</w:t>
      </w:r>
    </w:p>
    <w:p w14:paraId="5ECA60B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第三条　权利保证</w:t>
      </w:r>
    </w:p>
    <w:p w14:paraId="6AF433B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1.甲方有权随时向乙方了解服务进度和对服务资金使用情况进行监督、检查，并要求乙方提供相关资料。</w:t>
      </w:r>
    </w:p>
    <w:p w14:paraId="2C86B3E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14:paraId="1355B83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3.乙方应保证所提供服务在使用时不会侵犯任何第三方的专利权、商标权、工业设计权等知识产权及其他合法权利，且所有权、处分权等没有受到任何限制。</w:t>
      </w:r>
    </w:p>
    <w:p w14:paraId="6E23D1B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4.没有甲方事先书面同意，乙方不得将由甲方提供的有关合同或者任何合同条文、规格、计划、图纸、样品或者资料</w:t>
      </w:r>
      <w:r>
        <w:rPr>
          <w:rFonts w:hint="eastAsia" w:ascii="楷体_GB2312" w:hAnsi="楷体_GB2312" w:eastAsia="楷体_GB2312" w:cs="楷体_GB2312"/>
          <w:color w:val="auto"/>
          <w:kern w:val="0"/>
          <w:sz w:val="24"/>
          <w:szCs w:val="24"/>
          <w:lang w:val="en-US" w:eastAsia="zh-CN"/>
        </w:rPr>
        <w:t>等</w:t>
      </w:r>
      <w:r>
        <w:rPr>
          <w:rFonts w:hint="eastAsia" w:ascii="楷体_GB2312" w:hAnsi="楷体_GB2312" w:eastAsia="楷体_GB2312" w:cs="楷体_GB2312"/>
          <w:color w:val="auto"/>
          <w:kern w:val="0"/>
          <w:sz w:val="24"/>
          <w:szCs w:val="24"/>
        </w:rPr>
        <w:t>提供给与履行本合同无关的任何其他人。即使向履行合同有关的人员提供，也应注意保密并限于履行合同的必需范围。乙方的保密义务持续有效，不因为本合同履行终止、解除或者无效而解除。</w:t>
      </w:r>
    </w:p>
    <w:p w14:paraId="4BA13C6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5.乙方保证所交付的服务成果的所有权完全属于</w:t>
      </w:r>
      <w:r>
        <w:rPr>
          <w:rFonts w:hint="eastAsia" w:ascii="楷体_GB2312" w:hAnsi="楷体_GB2312" w:eastAsia="楷体_GB2312" w:cs="楷体_GB2312"/>
          <w:color w:val="auto"/>
          <w:kern w:val="0"/>
          <w:sz w:val="24"/>
          <w:szCs w:val="24"/>
          <w:lang w:val="en-US" w:eastAsia="zh-CN"/>
        </w:rPr>
        <w:t>甲</w:t>
      </w:r>
      <w:r>
        <w:rPr>
          <w:rFonts w:hint="eastAsia" w:ascii="楷体_GB2312" w:hAnsi="楷体_GB2312" w:eastAsia="楷体_GB2312" w:cs="楷体_GB2312"/>
          <w:color w:val="auto"/>
          <w:kern w:val="0"/>
          <w:sz w:val="24"/>
          <w:szCs w:val="24"/>
        </w:rPr>
        <w:t>方且无任何抵押、质押、查封等产权瑕疵。如乙方所交付服务成果有产权瑕疵的，视为乙方违约。但在已经全部支付完合同款后才发现有产权瑕疵的，乙方除了支付违约金，还应负担甲方由此产生的一切损失。</w:t>
      </w:r>
    </w:p>
    <w:p w14:paraId="257DA1B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第四条　交付和验收</w:t>
      </w:r>
    </w:p>
    <w:p w14:paraId="171E6230">
      <w:pPr>
        <w:spacing w:line="560" w:lineRule="exact"/>
        <w:ind w:firstLine="480" w:firstLineChars="200"/>
        <w:rPr>
          <w:rFonts w:hint="eastAsia"/>
          <w:color w:val="auto"/>
          <w:sz w:val="24"/>
          <w:szCs w:val="24"/>
        </w:rPr>
      </w:pPr>
      <w:r>
        <w:rPr>
          <w:rFonts w:hint="eastAsia" w:ascii="楷体_GB2312" w:hAnsi="楷体_GB2312" w:eastAsia="楷体_GB2312" w:cs="楷体_GB2312"/>
          <w:color w:val="auto"/>
          <w:kern w:val="0"/>
          <w:sz w:val="24"/>
          <w:szCs w:val="24"/>
        </w:rPr>
        <w:t>1.服务时间：</w:t>
      </w:r>
    </w:p>
    <w:p w14:paraId="3223B1E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2.服务地点：</w:t>
      </w:r>
      <w:r>
        <w:rPr>
          <w:rFonts w:hint="eastAsia" w:ascii="楷体_GB2312" w:hAnsi="楷体_GB2312" w:eastAsia="楷体_GB2312" w:cs="楷体_GB2312"/>
          <w:color w:val="auto"/>
          <w:kern w:val="0"/>
          <w:sz w:val="24"/>
          <w:szCs w:val="24"/>
          <w:lang w:eastAsia="zh-CN"/>
        </w:rPr>
        <w:t>北海</w:t>
      </w:r>
      <w:r>
        <w:rPr>
          <w:rFonts w:hint="eastAsia" w:ascii="楷体_GB2312" w:hAnsi="楷体_GB2312" w:eastAsia="楷体_GB2312" w:cs="楷体_GB2312"/>
          <w:color w:val="auto"/>
          <w:kern w:val="0"/>
          <w:sz w:val="24"/>
          <w:szCs w:val="24"/>
        </w:rPr>
        <w:t>市。</w:t>
      </w:r>
    </w:p>
    <w:p w14:paraId="0CCF8FA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3.乙方应按合同、采购文件、响应文件及承诺向甲方提供相应的服务，并提供服务质量和服务内容的相关技术资料。</w:t>
      </w:r>
    </w:p>
    <w:p w14:paraId="44F5A6D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4.乙方提供不符合合同、采购文件、响应文件规定的服务成果，甲方有权拒绝接受。</w:t>
      </w:r>
    </w:p>
    <w:p w14:paraId="75024FD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5.乙方在完成服务前应对服务作出全面检查和对验收文件进行整理，并列出清单，作为甲方服务验收的技术依据，清单应随提交的服务成果交给甲方。</w:t>
      </w:r>
    </w:p>
    <w:p w14:paraId="683AC43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6.乙方完成服务后应及时书面通知甲方进行验收，甲方应在收到通知后</w:t>
      </w:r>
      <w:r>
        <w:rPr>
          <w:rFonts w:hint="eastAsia" w:ascii="楷体_GB2312" w:hAnsi="楷体_GB2312" w:eastAsia="楷体_GB2312" w:cs="楷体_GB2312"/>
          <w:color w:val="auto"/>
          <w:kern w:val="0"/>
          <w:sz w:val="24"/>
          <w:szCs w:val="24"/>
          <w:lang w:val="en-US" w:eastAsia="zh-CN"/>
        </w:rPr>
        <w:t>十</w:t>
      </w:r>
      <w:r>
        <w:rPr>
          <w:rFonts w:hint="eastAsia" w:ascii="楷体_GB2312" w:hAnsi="楷体_GB2312" w:eastAsia="楷体_GB2312" w:cs="楷体_GB2312"/>
          <w:color w:val="auto"/>
          <w:kern w:val="0"/>
          <w:sz w:val="24"/>
          <w:szCs w:val="24"/>
        </w:rPr>
        <w:t>个工作日内进行验收，逾期不开始验收的，乙方可视同验收合格。</w:t>
      </w:r>
    </w:p>
    <w:p w14:paraId="2E06FAE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7.甲乙双方应参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14:paraId="373F1D7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8.甲方每季度对乙方提供的运行维护服务考核，如发现乙方提供的服务、服务质量或服务内容不满足合同、采购文件、响应文件规定的，甲方可以根据双方约定的考核办法</w:t>
      </w:r>
      <w:r>
        <w:rPr>
          <w:rFonts w:hint="eastAsia" w:ascii="楷体_GB2312" w:hAnsi="楷体_GB2312" w:eastAsia="楷体_GB2312" w:cs="楷体_GB2312"/>
          <w:color w:val="auto"/>
          <w:kern w:val="0"/>
          <w:sz w:val="24"/>
          <w:szCs w:val="24"/>
          <w:lang w:val="en-US" w:eastAsia="zh-CN"/>
        </w:rPr>
        <w:t>终止或</w:t>
      </w:r>
      <w:r>
        <w:rPr>
          <w:rFonts w:hint="eastAsia" w:ascii="楷体_GB2312" w:hAnsi="楷体_GB2312" w:eastAsia="楷体_GB2312" w:cs="楷体_GB2312"/>
          <w:color w:val="auto"/>
          <w:kern w:val="0"/>
          <w:sz w:val="24"/>
          <w:szCs w:val="24"/>
        </w:rPr>
        <w:t>扣减乙方相应的运维费。</w:t>
      </w:r>
    </w:p>
    <w:p w14:paraId="7407F6E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9.甲方验收时发现乙方提供的服务、服务质量或服务内容不满足合同、采购文件、响应文件规定并以书面形式提出异议的，乙方应自收到甲方书面异议后五个工作日内予以解决，否则甲方有权不出具验收合格单。乙方因解决异议问题而造成逾期的，按乙方逾期交付处理。</w:t>
      </w:r>
    </w:p>
    <w:p w14:paraId="04FC7F0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第五条　售后服务、服务质量保证期及培训</w:t>
      </w:r>
    </w:p>
    <w:p w14:paraId="70115EE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1.乙方应按照国家有关法律法规、合同、采购文件、响应文件所附的《服务承诺》要求为甲方提供相应的服务。</w:t>
      </w:r>
    </w:p>
    <w:p w14:paraId="30C2426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2.乙方提供服务的质量保证期按交付服务成果验收合格并签署验收合格单之日起计算，为</w:t>
      </w:r>
      <w:r>
        <w:rPr>
          <w:rFonts w:hint="eastAsia" w:ascii="楷体_GB2312" w:hAnsi="楷体_GB2312" w:eastAsia="楷体_GB2312" w:cs="楷体_GB2312"/>
          <w:color w:val="auto"/>
          <w:kern w:val="0"/>
          <w:sz w:val="24"/>
          <w:szCs w:val="24"/>
          <w:lang w:val="en-US" w:eastAsia="zh-CN"/>
        </w:rPr>
        <w:t>7</w:t>
      </w:r>
      <w:r>
        <w:rPr>
          <w:rFonts w:hint="eastAsia" w:ascii="楷体_GB2312" w:hAnsi="楷体_GB2312" w:eastAsia="楷体_GB2312" w:cs="楷体_GB2312"/>
          <w:color w:val="auto"/>
          <w:kern w:val="0"/>
          <w:sz w:val="24"/>
          <w:szCs w:val="24"/>
        </w:rPr>
        <w:t>日，在质量保证期内因服务成果本身的技术问题，乙方应对服务出现的问题负责处理解决并承担一切费用。</w:t>
      </w:r>
    </w:p>
    <w:p w14:paraId="27BDA4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3.在</w:t>
      </w:r>
      <w:r>
        <w:rPr>
          <w:rFonts w:hint="eastAsia" w:ascii="楷体_GB2312" w:hAnsi="楷体_GB2312" w:eastAsia="楷体_GB2312" w:cs="楷体_GB2312"/>
          <w:color w:val="auto"/>
          <w:kern w:val="0"/>
          <w:sz w:val="24"/>
          <w:szCs w:val="24"/>
          <w:lang w:val="en-US" w:eastAsia="zh-CN"/>
        </w:rPr>
        <w:t>合同期、</w:t>
      </w:r>
      <w:r>
        <w:rPr>
          <w:rFonts w:hint="eastAsia" w:ascii="楷体_GB2312" w:hAnsi="楷体_GB2312" w:eastAsia="楷体_GB2312" w:cs="楷体_GB2312"/>
          <w:color w:val="auto"/>
          <w:kern w:val="0"/>
          <w:sz w:val="24"/>
          <w:szCs w:val="24"/>
        </w:rPr>
        <w:t>质量保证期内发生技术服务问题，乙方应在接到甲方通知后24小时内到达甲方现场在甲方指定的期限内解决问题。</w:t>
      </w:r>
    </w:p>
    <w:p w14:paraId="5D61893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第六条　付款方式</w:t>
      </w:r>
    </w:p>
    <w:p w14:paraId="4A1AA37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1.资金性质：一般公共预算资金。</w:t>
      </w:r>
    </w:p>
    <w:p w14:paraId="1B1E04C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2.付款方式：</w:t>
      </w:r>
    </w:p>
    <w:p w14:paraId="6D143AB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eastAsia="zh-CN"/>
        </w:rPr>
        <w:t>（</w:t>
      </w:r>
      <w:r>
        <w:rPr>
          <w:rFonts w:hint="eastAsia" w:ascii="楷体_GB2312" w:hAnsi="楷体_GB2312" w:eastAsia="楷体_GB2312" w:cs="楷体_GB2312"/>
          <w:color w:val="auto"/>
          <w:kern w:val="0"/>
          <w:sz w:val="24"/>
          <w:szCs w:val="24"/>
          <w:lang w:val="en-US" w:eastAsia="zh-CN"/>
        </w:rPr>
        <w:t>1</w:t>
      </w:r>
      <w:r>
        <w:rPr>
          <w:rFonts w:hint="eastAsia" w:ascii="楷体_GB2312" w:hAnsi="楷体_GB2312" w:eastAsia="楷体_GB2312" w:cs="楷体_GB2312"/>
          <w:color w:val="auto"/>
          <w:kern w:val="0"/>
          <w:sz w:val="24"/>
          <w:szCs w:val="24"/>
          <w:lang w:eastAsia="zh-CN"/>
        </w:rPr>
        <w:t>）</w:t>
      </w:r>
      <w:r>
        <w:rPr>
          <w:rFonts w:hint="eastAsia" w:ascii="楷体_GB2312" w:hAnsi="楷体_GB2312" w:eastAsia="楷体_GB2312" w:cs="楷体_GB2312"/>
          <w:color w:val="auto"/>
          <w:kern w:val="0"/>
          <w:sz w:val="24"/>
          <w:szCs w:val="24"/>
        </w:rPr>
        <w:t>甲乙双方同意按以下方式支付合同合计金额：</w:t>
      </w:r>
    </w:p>
    <w:p w14:paraId="0245556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1）本项目服务费分</w:t>
      </w:r>
      <w:r>
        <w:rPr>
          <w:rFonts w:hint="eastAsia" w:ascii="楷体_GB2312" w:hAnsi="楷体_GB2312" w:eastAsia="楷体_GB2312" w:cs="楷体_GB2312"/>
          <w:color w:val="auto"/>
          <w:kern w:val="0"/>
          <w:sz w:val="24"/>
          <w:szCs w:val="24"/>
          <w:lang w:val="en-US" w:eastAsia="zh-CN"/>
        </w:rPr>
        <w:t>三</w:t>
      </w:r>
      <w:r>
        <w:rPr>
          <w:rFonts w:hint="eastAsia" w:ascii="楷体_GB2312" w:hAnsi="楷体_GB2312" w:eastAsia="楷体_GB2312" w:cs="楷体_GB2312"/>
          <w:color w:val="auto"/>
          <w:kern w:val="0"/>
          <w:sz w:val="24"/>
          <w:szCs w:val="24"/>
        </w:rPr>
        <w:t>期支付给成交运维机构，第一期双方签</w:t>
      </w:r>
      <w:r>
        <w:rPr>
          <w:rFonts w:hint="eastAsia" w:ascii="楷体_GB2312" w:hAnsi="楷体_GB2312" w:eastAsia="楷体_GB2312" w:cs="楷体_GB2312"/>
          <w:color w:val="auto"/>
          <w:kern w:val="0"/>
          <w:sz w:val="24"/>
          <w:szCs w:val="24"/>
          <w:lang w:val="en-US" w:eastAsia="zh-CN"/>
        </w:rPr>
        <w:t>定</w:t>
      </w:r>
      <w:r>
        <w:rPr>
          <w:rFonts w:hint="eastAsia" w:ascii="楷体_GB2312" w:hAnsi="楷体_GB2312" w:eastAsia="楷体_GB2312" w:cs="楷体_GB2312"/>
          <w:color w:val="auto"/>
          <w:kern w:val="0"/>
          <w:sz w:val="24"/>
          <w:szCs w:val="24"/>
        </w:rPr>
        <w:t>合同</w:t>
      </w:r>
      <w:r>
        <w:rPr>
          <w:rFonts w:hint="eastAsia" w:ascii="楷体_GB2312" w:hAnsi="楷体_GB2312" w:eastAsia="楷体_GB2312" w:cs="楷体_GB2312"/>
          <w:color w:val="auto"/>
          <w:kern w:val="0"/>
          <w:sz w:val="24"/>
          <w:szCs w:val="24"/>
          <w:lang w:val="en-US" w:eastAsia="zh-CN"/>
        </w:rPr>
        <w:t>之后乙方</w:t>
      </w:r>
      <w:r>
        <w:rPr>
          <w:rFonts w:hint="eastAsia" w:ascii="楷体_GB2312" w:hAnsi="楷体_GB2312" w:eastAsia="楷体_GB2312" w:cs="楷体_GB2312"/>
          <w:color w:val="auto"/>
          <w:kern w:val="0"/>
          <w:sz w:val="24"/>
          <w:szCs w:val="24"/>
        </w:rPr>
        <w:t>开具发票、</w:t>
      </w:r>
      <w:r>
        <w:rPr>
          <w:rFonts w:hint="eastAsia" w:ascii="楷体_GB2312" w:hAnsi="楷体_GB2312" w:eastAsia="楷体_GB2312" w:cs="楷体_GB2312"/>
          <w:color w:val="auto"/>
          <w:kern w:val="0"/>
          <w:sz w:val="24"/>
          <w:szCs w:val="24"/>
          <w:lang w:val="en-US" w:eastAsia="zh-CN"/>
        </w:rPr>
        <w:t>提交</w:t>
      </w:r>
      <w:r>
        <w:rPr>
          <w:rFonts w:hint="eastAsia" w:ascii="楷体_GB2312" w:hAnsi="楷体_GB2312" w:eastAsia="楷体_GB2312" w:cs="楷体_GB2312"/>
          <w:color w:val="auto"/>
          <w:kern w:val="0"/>
          <w:sz w:val="24"/>
          <w:szCs w:val="24"/>
        </w:rPr>
        <w:t>付款申请</w:t>
      </w:r>
      <w:r>
        <w:rPr>
          <w:rFonts w:hint="eastAsia" w:ascii="楷体_GB2312" w:hAnsi="楷体_GB2312" w:eastAsia="楷体_GB2312" w:cs="楷体_GB2312"/>
          <w:color w:val="auto"/>
          <w:kern w:val="0"/>
          <w:sz w:val="24"/>
          <w:szCs w:val="24"/>
          <w:lang w:eastAsia="zh-CN"/>
        </w:rPr>
        <w:t>，</w:t>
      </w:r>
      <w:r>
        <w:rPr>
          <w:rFonts w:hint="eastAsia" w:ascii="楷体_GB2312" w:hAnsi="楷体_GB2312" w:eastAsia="楷体_GB2312" w:cs="楷体_GB2312"/>
          <w:color w:val="auto"/>
          <w:kern w:val="0"/>
          <w:sz w:val="24"/>
          <w:szCs w:val="24"/>
          <w:lang w:val="en-US" w:eastAsia="zh-CN"/>
        </w:rPr>
        <w:t>甲方收到之日</w:t>
      </w:r>
      <w:r>
        <w:rPr>
          <w:rFonts w:hint="eastAsia" w:ascii="楷体_GB2312" w:hAnsi="楷体_GB2312" w:eastAsia="楷体_GB2312" w:cs="楷体_GB2312"/>
          <w:color w:val="auto"/>
          <w:kern w:val="0"/>
          <w:sz w:val="24"/>
          <w:szCs w:val="24"/>
        </w:rPr>
        <w:t>起1</w:t>
      </w:r>
      <w:r>
        <w:rPr>
          <w:rFonts w:hint="eastAsia" w:ascii="楷体_GB2312" w:hAnsi="楷体_GB2312" w:eastAsia="楷体_GB2312" w:cs="楷体_GB2312"/>
          <w:color w:val="auto"/>
          <w:kern w:val="0"/>
          <w:sz w:val="24"/>
          <w:szCs w:val="24"/>
          <w:lang w:val="en-US" w:eastAsia="zh-CN"/>
        </w:rPr>
        <w:t>5</w:t>
      </w:r>
      <w:r>
        <w:rPr>
          <w:rFonts w:hint="eastAsia" w:ascii="楷体_GB2312" w:hAnsi="楷体_GB2312" w:eastAsia="楷体_GB2312" w:cs="楷体_GB2312"/>
          <w:color w:val="auto"/>
          <w:kern w:val="0"/>
          <w:sz w:val="24"/>
          <w:szCs w:val="24"/>
        </w:rPr>
        <w:t>个工作日内按合同总价的</w:t>
      </w:r>
      <w:r>
        <w:rPr>
          <w:rFonts w:hint="eastAsia" w:ascii="楷体_GB2312" w:hAnsi="楷体_GB2312" w:eastAsia="楷体_GB2312" w:cs="楷体_GB2312"/>
          <w:color w:val="auto"/>
          <w:kern w:val="0"/>
          <w:sz w:val="24"/>
          <w:szCs w:val="24"/>
          <w:lang w:val="en-US" w:eastAsia="zh-CN"/>
        </w:rPr>
        <w:t>5</w:t>
      </w:r>
      <w:r>
        <w:rPr>
          <w:rFonts w:hint="eastAsia" w:ascii="楷体_GB2312" w:hAnsi="楷体_GB2312" w:eastAsia="楷体_GB2312" w:cs="楷体_GB2312"/>
          <w:color w:val="auto"/>
          <w:kern w:val="0"/>
          <w:sz w:val="24"/>
          <w:szCs w:val="24"/>
        </w:rPr>
        <w:t>0%支付给</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w:t>
      </w:r>
      <w:r>
        <w:rPr>
          <w:rFonts w:hint="eastAsia" w:ascii="楷体_GB2312" w:hAnsi="楷体_GB2312" w:eastAsia="楷体_GB2312" w:cs="楷体_GB2312"/>
          <w:color w:val="auto"/>
          <w:kern w:val="0"/>
          <w:sz w:val="24"/>
          <w:szCs w:val="24"/>
          <w:lang w:val="en-US" w:eastAsia="zh-CN"/>
        </w:rPr>
        <w:t>即人民币   元整（¥0000.00）</w:t>
      </w:r>
      <w:r>
        <w:rPr>
          <w:rFonts w:hint="eastAsia" w:ascii="楷体_GB2312" w:hAnsi="楷体_GB2312" w:eastAsia="楷体_GB2312" w:cs="楷体_GB2312"/>
          <w:color w:val="auto"/>
          <w:kern w:val="0"/>
          <w:sz w:val="24"/>
          <w:szCs w:val="24"/>
        </w:rPr>
        <w:t>。第二期在202</w:t>
      </w:r>
      <w:r>
        <w:rPr>
          <w:rFonts w:hint="eastAsia" w:ascii="楷体_GB2312" w:hAnsi="楷体_GB2312" w:eastAsia="楷体_GB2312" w:cs="楷体_GB2312"/>
          <w:color w:val="auto"/>
          <w:kern w:val="0"/>
          <w:sz w:val="24"/>
          <w:szCs w:val="24"/>
          <w:lang w:val="en-US" w:eastAsia="zh-CN"/>
        </w:rPr>
        <w:t>5</w:t>
      </w:r>
      <w:r>
        <w:rPr>
          <w:rFonts w:hint="eastAsia" w:ascii="楷体_GB2312" w:hAnsi="楷体_GB2312" w:eastAsia="楷体_GB2312" w:cs="楷体_GB2312"/>
          <w:color w:val="auto"/>
          <w:kern w:val="0"/>
          <w:sz w:val="24"/>
          <w:szCs w:val="24"/>
        </w:rPr>
        <w:t>年1</w:t>
      </w:r>
      <w:r>
        <w:rPr>
          <w:rFonts w:hint="eastAsia" w:ascii="楷体_GB2312" w:hAnsi="楷体_GB2312" w:eastAsia="楷体_GB2312" w:cs="楷体_GB2312"/>
          <w:color w:val="auto"/>
          <w:kern w:val="0"/>
          <w:sz w:val="24"/>
          <w:szCs w:val="24"/>
          <w:lang w:val="en-US" w:eastAsia="zh-CN"/>
        </w:rPr>
        <w:t>2</w:t>
      </w:r>
      <w:r>
        <w:rPr>
          <w:rFonts w:hint="eastAsia" w:ascii="楷体_GB2312" w:hAnsi="楷体_GB2312" w:eastAsia="楷体_GB2312" w:cs="楷体_GB2312"/>
          <w:color w:val="auto"/>
          <w:kern w:val="0"/>
          <w:sz w:val="24"/>
          <w:szCs w:val="24"/>
        </w:rPr>
        <w:t>月</w:t>
      </w:r>
      <w:r>
        <w:rPr>
          <w:rFonts w:hint="eastAsia" w:ascii="楷体_GB2312" w:hAnsi="楷体_GB2312" w:eastAsia="楷体_GB2312" w:cs="楷体_GB2312"/>
          <w:color w:val="auto"/>
          <w:kern w:val="0"/>
          <w:sz w:val="24"/>
          <w:szCs w:val="24"/>
          <w:lang w:val="en-US" w:eastAsia="zh-CN"/>
        </w:rPr>
        <w:t>底</w:t>
      </w:r>
      <w:r>
        <w:rPr>
          <w:rFonts w:hint="eastAsia" w:ascii="楷体_GB2312" w:hAnsi="楷体_GB2312" w:eastAsia="楷体_GB2312" w:cs="楷体_GB2312"/>
          <w:color w:val="auto"/>
          <w:kern w:val="0"/>
          <w:sz w:val="24"/>
          <w:szCs w:val="24"/>
        </w:rPr>
        <w:t>前支付，甲方收到</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开具的发票、付款申请后，根据对</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的考核结果（运维费核算方法的考核总分）支付合同总价的</w:t>
      </w:r>
      <w:r>
        <w:rPr>
          <w:rFonts w:hint="eastAsia" w:ascii="楷体_GB2312" w:hAnsi="楷体_GB2312" w:eastAsia="楷体_GB2312" w:cs="楷体_GB2312"/>
          <w:color w:val="auto"/>
          <w:kern w:val="0"/>
          <w:sz w:val="24"/>
          <w:szCs w:val="24"/>
          <w:lang w:val="en-US" w:eastAsia="zh-CN"/>
        </w:rPr>
        <w:t>4</w:t>
      </w:r>
      <w:r>
        <w:rPr>
          <w:rFonts w:hint="eastAsia" w:ascii="楷体_GB2312" w:hAnsi="楷体_GB2312" w:eastAsia="楷体_GB2312" w:cs="楷体_GB2312"/>
          <w:color w:val="auto"/>
          <w:kern w:val="0"/>
          <w:sz w:val="24"/>
          <w:szCs w:val="24"/>
        </w:rPr>
        <w:t>0%给</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w:t>
      </w:r>
      <w:r>
        <w:rPr>
          <w:rFonts w:hint="eastAsia" w:ascii="楷体_GB2312" w:hAnsi="楷体_GB2312" w:eastAsia="楷体_GB2312" w:cs="楷体_GB2312"/>
          <w:color w:val="auto"/>
          <w:kern w:val="0"/>
          <w:sz w:val="24"/>
          <w:szCs w:val="24"/>
          <w:lang w:val="en-US" w:eastAsia="zh-CN"/>
        </w:rPr>
        <w:t>即人民币    元整（¥0000.00）</w:t>
      </w:r>
      <w:r>
        <w:rPr>
          <w:rFonts w:hint="eastAsia" w:ascii="楷体_GB2312" w:hAnsi="楷体_GB2312" w:eastAsia="楷体_GB2312" w:cs="楷体_GB2312"/>
          <w:color w:val="auto"/>
          <w:kern w:val="0"/>
          <w:sz w:val="24"/>
          <w:szCs w:val="24"/>
        </w:rPr>
        <w:t>。第</w:t>
      </w:r>
      <w:r>
        <w:rPr>
          <w:rFonts w:hint="eastAsia" w:ascii="楷体_GB2312" w:hAnsi="楷体_GB2312" w:eastAsia="楷体_GB2312" w:cs="楷体_GB2312"/>
          <w:color w:val="auto"/>
          <w:kern w:val="0"/>
          <w:sz w:val="24"/>
          <w:szCs w:val="24"/>
          <w:lang w:val="en-US" w:eastAsia="zh-CN"/>
        </w:rPr>
        <w:t>三</w:t>
      </w:r>
      <w:r>
        <w:rPr>
          <w:rFonts w:hint="eastAsia" w:ascii="楷体_GB2312" w:hAnsi="楷体_GB2312" w:eastAsia="楷体_GB2312" w:cs="楷体_GB2312"/>
          <w:color w:val="auto"/>
          <w:kern w:val="0"/>
          <w:sz w:val="24"/>
          <w:szCs w:val="24"/>
        </w:rPr>
        <w:t>期</w:t>
      </w:r>
      <w:r>
        <w:rPr>
          <w:rFonts w:hint="eastAsia" w:ascii="楷体_GB2312" w:hAnsi="楷体_GB2312" w:eastAsia="楷体_GB2312" w:cs="楷体_GB2312"/>
          <w:color w:val="auto"/>
          <w:kern w:val="0"/>
          <w:sz w:val="24"/>
          <w:szCs w:val="24"/>
          <w:lang w:val="en-US" w:eastAsia="zh-CN"/>
        </w:rPr>
        <w:t>在运维任务完成交接后，质保期满且无质量问题的15个工作日内</w:t>
      </w:r>
      <w:r>
        <w:rPr>
          <w:rFonts w:hint="eastAsia" w:ascii="楷体_GB2312" w:hAnsi="楷体_GB2312" w:eastAsia="楷体_GB2312" w:cs="楷体_GB2312"/>
          <w:color w:val="auto"/>
          <w:kern w:val="0"/>
          <w:sz w:val="24"/>
          <w:szCs w:val="24"/>
        </w:rPr>
        <w:t>支付，甲方收到</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开具的发票、付款申请后，根据对</w:t>
      </w:r>
      <w:r>
        <w:rPr>
          <w:rFonts w:hint="eastAsia" w:ascii="楷体_GB2312" w:hAnsi="楷体_GB2312" w:eastAsia="楷体_GB2312" w:cs="楷体_GB2312"/>
          <w:color w:val="auto"/>
          <w:kern w:val="0"/>
          <w:sz w:val="24"/>
          <w:szCs w:val="24"/>
          <w:lang w:val="en-US" w:eastAsia="zh-CN"/>
        </w:rPr>
        <w:t>乙方</w:t>
      </w:r>
      <w:r>
        <w:rPr>
          <w:rFonts w:hint="eastAsia" w:ascii="楷体_GB2312" w:hAnsi="楷体_GB2312" w:eastAsia="楷体_GB2312" w:cs="楷体_GB2312"/>
          <w:color w:val="auto"/>
          <w:kern w:val="0"/>
          <w:sz w:val="24"/>
          <w:szCs w:val="24"/>
        </w:rPr>
        <w:t>的考核结果（运维费核算方法的考核总分）支付合同总价的</w:t>
      </w:r>
      <w:r>
        <w:rPr>
          <w:rFonts w:hint="eastAsia" w:ascii="楷体_GB2312" w:hAnsi="楷体_GB2312" w:eastAsia="楷体_GB2312" w:cs="楷体_GB2312"/>
          <w:color w:val="auto"/>
          <w:kern w:val="0"/>
          <w:sz w:val="24"/>
          <w:szCs w:val="24"/>
          <w:lang w:val="en-US" w:eastAsia="zh-CN"/>
        </w:rPr>
        <w:t>10%</w:t>
      </w:r>
      <w:r>
        <w:rPr>
          <w:rFonts w:hint="eastAsia" w:ascii="楷体_GB2312" w:hAnsi="楷体_GB2312" w:eastAsia="楷体_GB2312" w:cs="楷体_GB2312"/>
          <w:color w:val="auto"/>
          <w:kern w:val="0"/>
          <w:sz w:val="24"/>
          <w:szCs w:val="24"/>
        </w:rPr>
        <w:t>剩余款项</w:t>
      </w:r>
      <w:r>
        <w:rPr>
          <w:rFonts w:hint="eastAsia" w:ascii="楷体_GB2312" w:hAnsi="楷体_GB2312" w:eastAsia="楷体_GB2312" w:cs="楷体_GB2312"/>
          <w:color w:val="auto"/>
          <w:kern w:val="0"/>
          <w:sz w:val="24"/>
          <w:szCs w:val="24"/>
          <w:lang w:eastAsia="zh-CN"/>
        </w:rPr>
        <w:t>，</w:t>
      </w:r>
      <w:r>
        <w:rPr>
          <w:rFonts w:hint="eastAsia" w:ascii="楷体_GB2312" w:hAnsi="楷体_GB2312" w:eastAsia="楷体_GB2312" w:cs="楷体_GB2312"/>
          <w:color w:val="auto"/>
          <w:kern w:val="0"/>
          <w:sz w:val="24"/>
          <w:szCs w:val="24"/>
          <w:lang w:val="en-US" w:eastAsia="zh-CN"/>
        </w:rPr>
        <w:t>即人民币    元整（¥0000.00）</w:t>
      </w:r>
      <w:r>
        <w:rPr>
          <w:rFonts w:hint="eastAsia" w:ascii="楷体_GB2312" w:hAnsi="楷体_GB2312" w:eastAsia="楷体_GB2312" w:cs="楷体_GB2312"/>
          <w:color w:val="auto"/>
          <w:kern w:val="0"/>
          <w:sz w:val="24"/>
          <w:szCs w:val="24"/>
        </w:rPr>
        <w:t>。对达不到运维要求或违规操作的，甲方可以</w:t>
      </w:r>
      <w:r>
        <w:rPr>
          <w:rFonts w:hint="eastAsia" w:ascii="楷体_GB2312" w:hAnsi="楷体_GB2312" w:eastAsia="楷体_GB2312" w:cs="楷体_GB2312"/>
          <w:color w:val="auto"/>
          <w:kern w:val="0"/>
          <w:sz w:val="24"/>
          <w:szCs w:val="24"/>
          <w:lang w:val="en-US" w:eastAsia="zh-CN"/>
        </w:rPr>
        <w:t>终止或</w:t>
      </w:r>
      <w:r>
        <w:rPr>
          <w:rFonts w:hint="eastAsia" w:ascii="楷体_GB2312" w:hAnsi="楷体_GB2312" w:eastAsia="楷体_GB2312" w:cs="楷体_GB2312"/>
          <w:color w:val="auto"/>
          <w:kern w:val="0"/>
          <w:sz w:val="24"/>
          <w:szCs w:val="24"/>
        </w:rPr>
        <w:t>扣减相应的运维费。</w:t>
      </w:r>
    </w:p>
    <w:p w14:paraId="2E18AE8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b w:val="0"/>
          <w:bCs w:val="0"/>
          <w:color w:val="auto"/>
          <w:kern w:val="0"/>
          <w:sz w:val="24"/>
          <w:szCs w:val="24"/>
          <w:lang w:val="en-US" w:eastAsia="zh-CN" w:bidi="zh-CN"/>
        </w:rPr>
      </w:pPr>
      <w:r>
        <w:rPr>
          <w:rFonts w:hint="eastAsia" w:ascii="楷体_GB2312" w:hAnsi="楷体_GB2312" w:eastAsia="楷体_GB2312" w:cs="楷体_GB2312"/>
          <w:color w:val="auto"/>
          <w:kern w:val="0"/>
          <w:sz w:val="24"/>
          <w:szCs w:val="24"/>
        </w:rPr>
        <w:t>2）考核办法：</w:t>
      </w:r>
      <w:r>
        <w:rPr>
          <w:rFonts w:hint="eastAsia" w:ascii="楷体_GB2312" w:hAnsi="楷体_GB2312" w:eastAsia="楷体_GB2312" w:cs="楷体_GB2312"/>
          <w:b w:val="0"/>
          <w:bCs w:val="0"/>
          <w:color w:val="auto"/>
          <w:kern w:val="0"/>
          <w:sz w:val="24"/>
          <w:szCs w:val="24"/>
          <w:lang w:val="en-US" w:eastAsia="zh-CN" w:bidi="zh-CN"/>
        </w:rPr>
        <w:t>每季度对成交单位绩效考核一次。运维机构所提供的运维服务质量要达到中国环境监测总站、广西壮族自治区生态环境监测中心、北海生态环境监测中心运维质控要求。</w:t>
      </w:r>
    </w:p>
    <w:p w14:paraId="41BF217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b w:val="0"/>
          <w:bCs w:val="0"/>
          <w:color w:val="auto"/>
          <w:kern w:val="0"/>
          <w:sz w:val="24"/>
          <w:szCs w:val="24"/>
          <w:lang w:val="en-US" w:eastAsia="zh-CN" w:bidi="zh-CN"/>
        </w:rPr>
      </w:pPr>
      <w:r>
        <w:rPr>
          <w:rFonts w:hint="eastAsia" w:ascii="楷体_GB2312" w:hAnsi="楷体_GB2312" w:eastAsia="楷体_GB2312" w:cs="楷体_GB2312"/>
          <w:b w:val="0"/>
          <w:bCs w:val="0"/>
          <w:color w:val="auto"/>
          <w:kern w:val="0"/>
          <w:sz w:val="24"/>
          <w:szCs w:val="24"/>
          <w:lang w:val="en-US" w:eastAsia="zh-CN" w:bidi="zh-CN"/>
        </w:rPr>
        <w:t>区控市级环境空气站考核采取百分制、单站考核、单站核算运维费的方式，主要包括单个站点数据有效性、每季度单站直连国家实时数据和审核数据的入库率、日常运行维护的内容、档案管理、后勤保障等，具体详见《环境空气自动监测质量现场检查季度评分表（清洁对照点）》《区控环境空气自动监测质量现场检查季度评分表（非甲烷总烃）》。</w:t>
      </w:r>
    </w:p>
    <w:p w14:paraId="1BBBD33C">
      <w:pPr>
        <w:spacing w:line="560" w:lineRule="exact"/>
        <w:rPr>
          <w:rFonts w:hint="eastAsia"/>
          <w:color w:val="auto"/>
          <w:sz w:val="24"/>
          <w:szCs w:val="24"/>
          <w:lang w:val="en-US" w:eastAsia="zh-CN"/>
        </w:rPr>
      </w:pPr>
      <w:r>
        <w:rPr>
          <w:rFonts w:hint="eastAsia" w:ascii="楷体_GB2312" w:hAnsi="楷体_GB2312" w:eastAsia="楷体_GB2312" w:cs="楷体_GB2312"/>
          <w:b w:val="0"/>
          <w:bCs w:val="0"/>
          <w:color w:val="auto"/>
          <w:kern w:val="0"/>
          <w:sz w:val="24"/>
          <w:szCs w:val="24"/>
          <w:lang w:val="en-US" w:eastAsia="zh-CN" w:bidi="zh-CN"/>
        </w:rPr>
        <w:t>大气降水站考核采取百分制考核的方式，主要包括站点的日常运行维护、质量控制、网络通讯保障、样品采样送样、故障处理等，具体详见《广西壮族自治区北海生态环境监测中心大气降水自动监测站设备运行维护季度考核评分表》。</w:t>
      </w:r>
    </w:p>
    <w:p w14:paraId="62D93E5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lang w:val="en-US" w:eastAsia="zh-CN"/>
        </w:rPr>
        <w:t>3</w:t>
      </w:r>
      <w:r>
        <w:rPr>
          <w:rFonts w:hint="eastAsia" w:ascii="楷体_GB2312" w:hAnsi="楷体_GB2312" w:eastAsia="楷体_GB2312" w:cs="楷体_GB2312"/>
          <w:color w:val="auto"/>
          <w:kern w:val="0"/>
          <w:sz w:val="24"/>
          <w:szCs w:val="24"/>
          <w:lang w:eastAsia="zh-CN"/>
        </w:rPr>
        <w:t>）</w:t>
      </w:r>
      <w:r>
        <w:rPr>
          <w:rFonts w:hint="eastAsia" w:ascii="楷体_GB2312" w:hAnsi="楷体_GB2312" w:eastAsia="楷体_GB2312" w:cs="楷体_GB2312"/>
          <w:color w:val="auto"/>
          <w:kern w:val="0"/>
          <w:sz w:val="24"/>
          <w:szCs w:val="24"/>
          <w:lang w:val="en-US" w:eastAsia="zh-CN"/>
        </w:rPr>
        <w:t>运维费核算方法</w:t>
      </w:r>
    </w:p>
    <w:p w14:paraId="1CB822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b w:val="0"/>
          <w:bCs w:val="0"/>
          <w:color w:val="auto"/>
          <w:kern w:val="0"/>
          <w:sz w:val="24"/>
          <w:szCs w:val="24"/>
          <w:lang w:val="en-US" w:eastAsia="zh-CN" w:bidi="zh-CN"/>
        </w:rPr>
        <w:t>清洁对照点、非甲烷总烃站、4个大气降水站为三个考核对象，分别考核，分别核算，每个考核对象当季考核总分低于85分的，扣减合同总款的2%；高于或等于85分的，不予扣减。</w:t>
      </w:r>
    </w:p>
    <w:p w14:paraId="3BFEB02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（2）其他规定</w:t>
      </w:r>
    </w:p>
    <w:p w14:paraId="69F985F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b w:val="0"/>
          <w:bCs w:val="0"/>
          <w:color w:val="auto"/>
          <w:kern w:val="0"/>
          <w:sz w:val="24"/>
          <w:szCs w:val="24"/>
          <w:lang w:val="en-US" w:eastAsia="zh-CN" w:bidi="zh-CN"/>
        </w:rPr>
      </w:pPr>
      <w:r>
        <w:rPr>
          <w:rFonts w:hint="eastAsia" w:ascii="楷体_GB2312" w:hAnsi="楷体_GB2312" w:eastAsia="楷体_GB2312" w:cs="楷体_GB2312"/>
          <w:b w:val="0"/>
          <w:bCs w:val="0"/>
          <w:color w:val="auto"/>
          <w:kern w:val="0"/>
          <w:sz w:val="24"/>
          <w:szCs w:val="24"/>
          <w:lang w:val="en-US" w:eastAsia="zh-CN" w:bidi="zh-CN"/>
        </w:rPr>
        <w:t>运维单位有下列情形之一的，采购人将扣减合同总款的2%：迟报、漏报或不报审核数据的；拖延、阻碍、拒绝质量检查或飞行检查的；发现采样、分析、数据采集和传输等过程人为干扰的，未按要求及时向采购人报告的；因工作疏漏，未发现采样、分析、数据采集和传输等过程人为干扰的；其他不履行规定职责的情形。</w:t>
      </w:r>
    </w:p>
    <w:p w14:paraId="5FD4E0D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b w:val="0"/>
          <w:bCs w:val="0"/>
          <w:color w:val="auto"/>
          <w:kern w:val="0"/>
          <w:sz w:val="24"/>
          <w:szCs w:val="24"/>
          <w:lang w:val="en-US" w:eastAsia="zh-CN" w:bidi="zh-CN"/>
        </w:rPr>
      </w:pPr>
      <w:r>
        <w:rPr>
          <w:rFonts w:hint="eastAsia" w:ascii="楷体_GB2312" w:hAnsi="楷体_GB2312" w:eastAsia="楷体_GB2312" w:cs="楷体_GB2312"/>
          <w:b w:val="0"/>
          <w:bCs w:val="0"/>
          <w:color w:val="auto"/>
          <w:kern w:val="0"/>
          <w:sz w:val="24"/>
          <w:szCs w:val="24"/>
          <w:lang w:val="en-US" w:eastAsia="zh-CN" w:bidi="zh-CN"/>
        </w:rPr>
        <w:t>在质量检查中，发现运维单位未达到中国环境监测总站、广西壮族自治区生态环境监测中心、北海生态环境监测中心运维质控要求时，根据对数据质量造成的影响程度，采购人将扣减合同总款的2%；如未在7个工作日内整改完毕，加两倍扣款。</w:t>
      </w:r>
    </w:p>
    <w:p w14:paraId="68AEB8B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3.乙方指定以下账户为接受本合同价款的账户，并对其指定的下列账户信息真实性、安全性、准确性负责。</w:t>
      </w:r>
    </w:p>
    <w:p w14:paraId="686900E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账户名称：</w:t>
      </w:r>
    </w:p>
    <w:p w14:paraId="717324C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开户银行：</w:t>
      </w:r>
    </w:p>
    <w:p w14:paraId="3F543B2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lang w:eastAsia="zh-CN"/>
        </w:rPr>
      </w:pPr>
      <w:r>
        <w:rPr>
          <w:rFonts w:hint="eastAsia" w:ascii="楷体_GB2312" w:hAnsi="楷体_GB2312" w:eastAsia="楷体_GB2312" w:cs="楷体_GB2312"/>
          <w:color w:val="auto"/>
          <w:kern w:val="0"/>
          <w:sz w:val="24"/>
          <w:szCs w:val="24"/>
        </w:rPr>
        <w:t>银行账号：</w:t>
      </w:r>
    </w:p>
    <w:p w14:paraId="57AF295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如乙方上述账户信息发生变更，乙方应提前向甲方发送书面通知，未能提前书面通知而产生的不利后果由乙方自行承担。</w:t>
      </w:r>
    </w:p>
    <w:p w14:paraId="406AE35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4.甲方在支付每笔款项前，乙方应当提供可供政府审计并且符合税务规定的正式发票，否则甲方有权拒付相应款项直至乙方能提供符合规定的发票为止。</w:t>
      </w:r>
    </w:p>
    <w:p w14:paraId="432D3A6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第七条　履约保证金</w:t>
      </w:r>
    </w:p>
    <w:p w14:paraId="5BB489B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履约保证金：</w:t>
      </w:r>
      <w:r>
        <w:rPr>
          <w:rFonts w:hint="eastAsia" w:ascii="楷体_GB2312" w:hAnsi="楷体_GB2312" w:eastAsia="楷体_GB2312" w:cs="楷体_GB2312"/>
          <w:color w:val="auto"/>
          <w:kern w:val="0"/>
          <w:sz w:val="24"/>
          <w:szCs w:val="24"/>
          <w:lang w:eastAsia="zh-CN"/>
        </w:rPr>
        <w:t>无</w:t>
      </w:r>
      <w:r>
        <w:rPr>
          <w:rFonts w:hint="eastAsia" w:ascii="楷体_GB2312" w:hAnsi="楷体_GB2312" w:eastAsia="楷体_GB2312" w:cs="楷体_GB2312"/>
          <w:color w:val="auto"/>
          <w:kern w:val="0"/>
          <w:sz w:val="24"/>
          <w:szCs w:val="24"/>
        </w:rPr>
        <w:t>。</w:t>
      </w:r>
    </w:p>
    <w:p w14:paraId="24241D7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第八条　税费</w:t>
      </w:r>
    </w:p>
    <w:p w14:paraId="57CD4E0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合同执行中相关的一切税费均由乙方负担。</w:t>
      </w:r>
    </w:p>
    <w:p w14:paraId="508284F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第九条　违约责任</w:t>
      </w:r>
    </w:p>
    <w:p w14:paraId="5918D0A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乙方没有按照合同、采购文件、响应文件规定的时间或期限提供服务的，每逾期一日，应按合同合计金额的3‰向甲方支付逾期提供服务的违约金；逾期超过十日的，甲方有权单方解除合同，并要求乙方退还已收取的款项，同时乙方每逾期一日应按合同合计金额的3‰向甲方支付逾期提供服务的违约金并承担因此给甲方造成的经济损失。</w:t>
      </w:r>
    </w:p>
    <w:p w14:paraId="3DC84F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2.乙方所提供的服务、服务质量、服务内容等不符合合同、采购文件、响应文件规定的要求的，由甲方根据本合同第六条</w:t>
      </w:r>
      <w:r>
        <w:rPr>
          <w:rFonts w:hint="eastAsia" w:ascii="楷体_GB2312" w:hAnsi="楷体_GB2312" w:eastAsia="楷体_GB2312" w:cs="楷体_GB2312"/>
          <w:color w:val="auto"/>
          <w:kern w:val="0"/>
          <w:sz w:val="24"/>
          <w:szCs w:val="24"/>
          <w:lang w:val="en-US" w:eastAsia="zh-CN"/>
        </w:rPr>
        <w:t>约定</w:t>
      </w:r>
      <w:r>
        <w:rPr>
          <w:rFonts w:hint="eastAsia" w:ascii="楷体_GB2312" w:hAnsi="楷体_GB2312" w:eastAsia="楷体_GB2312" w:cs="楷体_GB2312"/>
          <w:color w:val="auto"/>
          <w:kern w:val="0"/>
          <w:sz w:val="24"/>
          <w:szCs w:val="24"/>
        </w:rPr>
        <w:t>的考核办法，结合实际情况扣除</w:t>
      </w:r>
      <w:r>
        <w:rPr>
          <w:rFonts w:hint="eastAsia" w:ascii="楷体_GB2312" w:hAnsi="楷体_GB2312" w:eastAsia="楷体_GB2312" w:cs="楷体_GB2312"/>
          <w:color w:val="auto"/>
          <w:kern w:val="0"/>
          <w:sz w:val="24"/>
          <w:szCs w:val="24"/>
          <w:lang w:val="en-US" w:eastAsia="zh-CN"/>
        </w:rPr>
        <w:t>合同总金额10%的</w:t>
      </w:r>
      <w:r>
        <w:rPr>
          <w:rFonts w:hint="eastAsia" w:ascii="楷体_GB2312" w:hAnsi="楷体_GB2312" w:eastAsia="楷体_GB2312" w:cs="楷体_GB2312"/>
          <w:color w:val="auto"/>
          <w:kern w:val="0"/>
          <w:sz w:val="24"/>
          <w:szCs w:val="24"/>
        </w:rPr>
        <w:t>经费。乙方应按甲方的要求，在甲方指定的期限内予以整改，未在甲方指定的期限内整改的，甲方加</w:t>
      </w:r>
      <w:r>
        <w:rPr>
          <w:rFonts w:hint="eastAsia" w:ascii="楷体_GB2312" w:hAnsi="楷体_GB2312" w:eastAsia="楷体_GB2312" w:cs="楷体_GB2312"/>
          <w:color w:val="auto"/>
          <w:kern w:val="0"/>
          <w:sz w:val="24"/>
          <w:szCs w:val="24"/>
          <w:lang w:val="en-US" w:eastAsia="zh-CN"/>
        </w:rPr>
        <w:t>两</w:t>
      </w:r>
      <w:r>
        <w:rPr>
          <w:rFonts w:hint="eastAsia" w:ascii="楷体_GB2312" w:hAnsi="楷体_GB2312" w:eastAsia="楷体_GB2312" w:cs="楷体_GB2312"/>
          <w:color w:val="auto"/>
          <w:kern w:val="0"/>
          <w:sz w:val="24"/>
          <w:szCs w:val="24"/>
        </w:rPr>
        <w:t>倍扣除费</w:t>
      </w:r>
      <w:r>
        <w:rPr>
          <w:rFonts w:hint="eastAsia" w:ascii="楷体_GB2312" w:hAnsi="楷体_GB2312" w:eastAsia="楷体_GB2312" w:cs="楷体_GB2312"/>
          <w:color w:val="auto"/>
          <w:kern w:val="0"/>
          <w:sz w:val="24"/>
          <w:szCs w:val="24"/>
          <w:lang w:val="en-US" w:eastAsia="zh-CN"/>
        </w:rPr>
        <w:t>用</w:t>
      </w:r>
      <w:r>
        <w:rPr>
          <w:rFonts w:hint="eastAsia" w:ascii="楷体_GB2312" w:hAnsi="楷体_GB2312" w:eastAsia="楷体_GB2312" w:cs="楷体_GB2312"/>
          <w:color w:val="auto"/>
          <w:kern w:val="0"/>
          <w:sz w:val="24"/>
          <w:szCs w:val="24"/>
        </w:rPr>
        <w:t>，并有权解除本合同。</w:t>
      </w:r>
    </w:p>
    <w:p w14:paraId="566617E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乙方提供的服务如侵犯了第三方合法权益而引发的任何纠纷或者诉讼，均由乙方负责交涉并承担全部责任，如甲方为解决纠纷矛盾先期支付了费用的，乙方应当自收到甲方要求偿还费用的函之日起五日内向甲方偿还完毕。</w:t>
      </w:r>
    </w:p>
    <w:p w14:paraId="68B1821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4.乙方因履行合同所发生的其他违约行为，每违约一次，应按合同合计金额的5%向甲方支付违约金，并赔偿甲方因此所造成全部损失。</w:t>
      </w:r>
    </w:p>
    <w:p w14:paraId="1810DA8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5.乙方支付的违约金不足以弥补甲方损失的，应承担赔偿责任，甲方有权继续向乙方追偿。乙方应支付给甲方的任何款项，甲方有权从任何应支付未支付给乙方的款项中直接抵扣。</w:t>
      </w:r>
    </w:p>
    <w:p w14:paraId="217AD3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6.本合同所称的甲方经济损失或者甲方损失，包括甲方遭受的全部直接经济损失及为此支出的合理费用（包括但不限于为此支出的调查费、诉讼费、保全费、律师费、差旅费等）。</w:t>
      </w:r>
    </w:p>
    <w:p w14:paraId="59A9F81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7.甲方延期付款的，</w:t>
      </w:r>
      <w:r>
        <w:rPr>
          <w:rFonts w:hint="eastAsia" w:ascii="楷体_GB2312" w:hAnsi="楷体_GB2312" w:eastAsia="楷体_GB2312" w:cs="楷体_GB2312"/>
          <w:color w:val="auto"/>
          <w:kern w:val="0"/>
          <w:sz w:val="24"/>
          <w:szCs w:val="24"/>
          <w:lang w:val="en-US" w:eastAsia="zh-CN"/>
        </w:rPr>
        <w:t>按一年期全国银行市场报价利率（LPR)</w:t>
      </w:r>
      <w:r>
        <w:rPr>
          <w:rFonts w:hint="eastAsia" w:ascii="楷体_GB2312" w:hAnsi="楷体_GB2312" w:eastAsia="楷体_GB2312" w:cs="楷体_GB2312"/>
          <w:color w:val="auto"/>
          <w:kern w:val="0"/>
          <w:sz w:val="24"/>
          <w:szCs w:val="24"/>
        </w:rPr>
        <w:t>向乙方偿付延期</w:t>
      </w:r>
      <w:r>
        <w:rPr>
          <w:rFonts w:hint="eastAsia" w:ascii="楷体_GB2312" w:hAnsi="楷体_GB2312" w:eastAsia="楷体_GB2312" w:cs="楷体_GB2312"/>
          <w:color w:val="auto"/>
          <w:kern w:val="0"/>
          <w:sz w:val="24"/>
          <w:szCs w:val="24"/>
          <w:lang w:val="en-US" w:eastAsia="zh-CN"/>
        </w:rPr>
        <w:t>付款</w:t>
      </w:r>
      <w:r>
        <w:rPr>
          <w:rFonts w:hint="eastAsia" w:ascii="楷体_GB2312" w:hAnsi="楷体_GB2312" w:eastAsia="楷体_GB2312" w:cs="楷体_GB2312"/>
          <w:color w:val="auto"/>
          <w:kern w:val="0"/>
          <w:sz w:val="24"/>
          <w:szCs w:val="24"/>
        </w:rPr>
        <w:t>违约金，但违约金累计不得超过延期款额的5%。</w:t>
      </w:r>
    </w:p>
    <w:p w14:paraId="25A69EF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第十条　知识产权归属</w:t>
      </w:r>
    </w:p>
    <w:p w14:paraId="733B93C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乙方保证，甲乙双方在本合同执行中形成的任何成果或知识产权的所有权，归甲方所有，而且乙方应当完成甲方知识产权所有权确认所必需的全部行为、证书和文件等，并提供相应的支持和协助。</w:t>
      </w:r>
    </w:p>
    <w:p w14:paraId="30AB17D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第十一条　保密条款</w:t>
      </w:r>
    </w:p>
    <w:p w14:paraId="55551E2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1.甲乙双方都负有保守对方的单位机密或商业秘密的义务，保密范围包括但不限于技术情报、数据资料及其他公开后对对方造成影响或损失的秘密。</w:t>
      </w:r>
    </w:p>
    <w:p w14:paraId="3410110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2.任何一方违反保密条款，给对方造成损失，应按对方的实际损失承担赔偿责任。</w:t>
      </w:r>
    </w:p>
    <w:p w14:paraId="3DF8496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3.本条款不因合同的变更、解除和终止而失效。</w:t>
      </w:r>
    </w:p>
    <w:p w14:paraId="7ADF52A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第十二条　不可抗力事件处理</w:t>
      </w:r>
    </w:p>
    <w:p w14:paraId="67F1B93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1.在合同有效期内，任何一方因不可抗力事件导致不能履行合同，则合同履行期可延长，其延长期与不可抗力影响期相同。</w:t>
      </w:r>
    </w:p>
    <w:p w14:paraId="5065329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2.不可抗力事件发生后，应立即通知对方，并寄送有关权威机构出具的证明。</w:t>
      </w:r>
    </w:p>
    <w:p w14:paraId="5DB44A1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3.不可抗力事件延续一百</w:t>
      </w:r>
      <w:r>
        <w:rPr>
          <w:rFonts w:hint="eastAsia" w:ascii="楷体_GB2312" w:hAnsi="楷体_GB2312" w:eastAsia="楷体_GB2312" w:cs="楷体_GB2312"/>
          <w:color w:val="auto"/>
          <w:kern w:val="0"/>
          <w:sz w:val="24"/>
          <w:szCs w:val="24"/>
          <w:lang w:val="en-US" w:eastAsia="zh-CN"/>
        </w:rPr>
        <w:t>天</w:t>
      </w:r>
      <w:r>
        <w:rPr>
          <w:rFonts w:hint="eastAsia" w:ascii="楷体_GB2312" w:hAnsi="楷体_GB2312" w:eastAsia="楷体_GB2312" w:cs="楷体_GB2312"/>
          <w:color w:val="auto"/>
          <w:kern w:val="0"/>
          <w:sz w:val="24"/>
          <w:szCs w:val="24"/>
        </w:rPr>
        <w:t>以上，双方应通过友好协商，确定是否继续履行合同。</w:t>
      </w:r>
    </w:p>
    <w:p w14:paraId="2ED9673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4.合同履行过程中，因接受政府行政指令而无法履行的，接受政府行政指令的一方可以免除责任。</w:t>
      </w:r>
    </w:p>
    <w:p w14:paraId="6477B1E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第十三条　合同争议解决</w:t>
      </w:r>
    </w:p>
    <w:p w14:paraId="6DC9D58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1.因服务质量问题发生争议的，甲方应提交具有相应资质的机构进行鉴定。服务符合标准的，鉴定费由甲方承担；服务不符合标准的，鉴定费由乙方承担。</w:t>
      </w:r>
    </w:p>
    <w:p w14:paraId="706E6E9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2.因履行本合同引起的或者与本合同有关的争议，甲乙双方应首先通过友好协商解决，如果协商不能解决，可向甲方所在地有管辖权人民法院提起诉讼。</w:t>
      </w:r>
    </w:p>
    <w:p w14:paraId="20C1F63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第十四条　合同生效及其他</w:t>
      </w:r>
    </w:p>
    <w:p w14:paraId="66279DA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1.合同经甲乙双方法定代表人或者授权代表签字并加盖单位公章后生效。</w:t>
      </w:r>
    </w:p>
    <w:p w14:paraId="324B082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2.合同执行中涉及采购资金和采购内容修改或者补充的，须经采购监管部门审批，并签书面补充协议报采购监管部门备案，方可作为主合同不可分割的一部分。</w:t>
      </w:r>
    </w:p>
    <w:p w14:paraId="3C8F6F7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3.合同未尽事宜，遵照《中华人民共和国民法典》等相关法律、法规规定有关条文执行。</w:t>
      </w:r>
    </w:p>
    <w:p w14:paraId="6CB104D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第十五条　合同的变更、终止与转让</w:t>
      </w:r>
    </w:p>
    <w:p w14:paraId="2AA385C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1.本合同一经签订，甲乙双方不得擅自变更、中止或者终止。</w:t>
      </w:r>
    </w:p>
    <w:p w14:paraId="5AF5F7F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2.未经甲方书面同意，乙方不得擅自转让其应履行的合同义务。</w:t>
      </w:r>
    </w:p>
    <w:p w14:paraId="5F24E61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第十六条　本合同与下列文件一起构成合同文件</w:t>
      </w:r>
    </w:p>
    <w:p w14:paraId="64DE85E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1.采购文件；</w:t>
      </w:r>
    </w:p>
    <w:p w14:paraId="4DC052E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2.乙方提供的应答文件；</w:t>
      </w:r>
    </w:p>
    <w:p w14:paraId="16D150B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3.成交通知书。</w:t>
      </w:r>
    </w:p>
    <w:p w14:paraId="53102E1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上述合同文件互相补充和解释。如果合同文件之间存在矛盾或者不一致之处，以本合同、上述文件的排列顺序在先者为准。</w:t>
      </w:r>
    </w:p>
    <w:p w14:paraId="5B3C412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第十七条　其他约定事项</w:t>
      </w:r>
    </w:p>
    <w:p w14:paraId="503FFC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1.本合同所有附件及相关文件均为本合同的有效组成部分，与本合同具有同等法律效力。若合同附件与本合同存在不一致的，则以本合同为准。</w:t>
      </w:r>
    </w:p>
    <w:p w14:paraId="30D5DDD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2.在履行本合同过程中，所有经甲乙双方签署确认的文件（包括会议纪要、补充协议、往来信函、电子邮件等）即成为本合同的有效组成部分。</w:t>
      </w:r>
    </w:p>
    <w:p w14:paraId="317EE6A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3.甲乙双方确认，以下为各方真实有效通讯地址：</w:t>
      </w:r>
    </w:p>
    <w:tbl>
      <w:tblPr>
        <w:tblStyle w:val="26"/>
        <w:tblW w:w="9435"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0"/>
        <w:gridCol w:w="4545"/>
      </w:tblGrid>
      <w:tr w14:paraId="2A75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4890" w:type="dxa"/>
            <w:tcBorders>
              <w:top w:val="nil"/>
              <w:left w:val="nil"/>
              <w:bottom w:val="nil"/>
              <w:right w:val="nil"/>
            </w:tcBorders>
          </w:tcPr>
          <w:p w14:paraId="2BA080F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960" w:right="0" w:hanging="720" w:hangingChars="300"/>
              <w:jc w:val="left"/>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甲方</w:t>
            </w:r>
            <w:r>
              <w:rPr>
                <w:rFonts w:hint="eastAsia" w:ascii="楷体_GB2312" w:hAnsi="楷体_GB2312" w:eastAsia="楷体_GB2312" w:cs="楷体_GB2312"/>
                <w:color w:val="auto"/>
                <w:kern w:val="0"/>
                <w:sz w:val="24"/>
                <w:szCs w:val="24"/>
                <w:lang w:val="en-US" w:eastAsia="zh-CN"/>
              </w:rPr>
              <w:t>：</w:t>
            </w:r>
          </w:p>
        </w:tc>
        <w:tc>
          <w:tcPr>
            <w:tcW w:w="4545" w:type="dxa"/>
            <w:tcBorders>
              <w:top w:val="nil"/>
              <w:left w:val="nil"/>
              <w:bottom w:val="nil"/>
              <w:right w:val="nil"/>
            </w:tcBorders>
          </w:tcPr>
          <w:p w14:paraId="70540AD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960" w:right="0" w:hanging="720" w:hangingChars="30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乙方：</w:t>
            </w:r>
          </w:p>
        </w:tc>
      </w:tr>
      <w:tr w14:paraId="4740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4890" w:type="dxa"/>
            <w:tcBorders>
              <w:top w:val="nil"/>
              <w:left w:val="nil"/>
              <w:bottom w:val="nil"/>
              <w:right w:val="nil"/>
            </w:tcBorders>
          </w:tcPr>
          <w:p w14:paraId="259CB87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960" w:right="0" w:hanging="720" w:hangingChars="300"/>
              <w:jc w:val="left"/>
              <w:textAlignment w:val="auto"/>
              <w:rPr>
                <w:rFonts w:hint="default"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rPr>
              <w:t>地址：</w:t>
            </w:r>
          </w:p>
        </w:tc>
        <w:tc>
          <w:tcPr>
            <w:tcW w:w="4545" w:type="dxa"/>
            <w:tcBorders>
              <w:top w:val="nil"/>
              <w:left w:val="nil"/>
              <w:bottom w:val="nil"/>
              <w:right w:val="nil"/>
            </w:tcBorders>
          </w:tcPr>
          <w:p w14:paraId="0AFE15C5">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960" w:right="0" w:hanging="720" w:hangingChars="30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地址：</w:t>
            </w:r>
          </w:p>
        </w:tc>
      </w:tr>
      <w:tr w14:paraId="6E0C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890" w:type="dxa"/>
            <w:tcBorders>
              <w:top w:val="nil"/>
              <w:left w:val="nil"/>
              <w:bottom w:val="nil"/>
              <w:right w:val="nil"/>
            </w:tcBorders>
            <w:vAlign w:val="center"/>
          </w:tcPr>
          <w:p w14:paraId="45A4108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rPr>
              <w:t>收件人：</w:t>
            </w:r>
          </w:p>
        </w:tc>
        <w:tc>
          <w:tcPr>
            <w:tcW w:w="4545" w:type="dxa"/>
            <w:tcBorders>
              <w:top w:val="nil"/>
              <w:left w:val="nil"/>
              <w:bottom w:val="nil"/>
              <w:right w:val="nil"/>
            </w:tcBorders>
            <w:vAlign w:val="center"/>
          </w:tcPr>
          <w:p w14:paraId="3B00306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收件人：</w:t>
            </w:r>
          </w:p>
        </w:tc>
      </w:tr>
      <w:tr w14:paraId="6D22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4890" w:type="dxa"/>
            <w:tcBorders>
              <w:top w:val="nil"/>
              <w:left w:val="nil"/>
              <w:bottom w:val="nil"/>
              <w:right w:val="nil"/>
            </w:tcBorders>
            <w:vAlign w:val="center"/>
          </w:tcPr>
          <w:p w14:paraId="5436888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rPr>
              <w:t>联系电话：</w:t>
            </w:r>
          </w:p>
        </w:tc>
        <w:tc>
          <w:tcPr>
            <w:tcW w:w="4545" w:type="dxa"/>
            <w:tcBorders>
              <w:top w:val="nil"/>
              <w:left w:val="nil"/>
              <w:bottom w:val="nil"/>
              <w:right w:val="nil"/>
            </w:tcBorders>
            <w:vAlign w:val="center"/>
          </w:tcPr>
          <w:p w14:paraId="51EC389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联系电话：</w:t>
            </w:r>
          </w:p>
        </w:tc>
      </w:tr>
      <w:tr w14:paraId="71BF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4890" w:type="dxa"/>
            <w:tcBorders>
              <w:top w:val="nil"/>
              <w:left w:val="nil"/>
              <w:bottom w:val="nil"/>
              <w:right w:val="nil"/>
            </w:tcBorders>
            <w:vAlign w:val="center"/>
          </w:tcPr>
          <w:p w14:paraId="63B5B6E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val="en-US" w:eastAsia="zh-CN"/>
              </w:rPr>
              <w:t>电</w:t>
            </w:r>
            <w:r>
              <w:rPr>
                <w:rFonts w:hint="eastAsia" w:ascii="楷体_GB2312" w:hAnsi="楷体_GB2312" w:eastAsia="楷体_GB2312" w:cs="楷体_GB2312"/>
                <w:color w:val="auto"/>
                <w:kern w:val="0"/>
                <w:sz w:val="24"/>
                <w:szCs w:val="24"/>
              </w:rPr>
              <w:t>子邮箱：</w:t>
            </w:r>
          </w:p>
        </w:tc>
        <w:tc>
          <w:tcPr>
            <w:tcW w:w="4545" w:type="dxa"/>
            <w:tcBorders>
              <w:top w:val="nil"/>
              <w:left w:val="nil"/>
              <w:bottom w:val="nil"/>
              <w:right w:val="nil"/>
            </w:tcBorders>
            <w:vAlign w:val="center"/>
          </w:tcPr>
          <w:p w14:paraId="4EA6E53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电子邮箱：</w:t>
            </w:r>
          </w:p>
        </w:tc>
      </w:tr>
    </w:tbl>
    <w:p w14:paraId="27CD489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57E7180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4.本合同一式</w:t>
      </w:r>
      <w:r>
        <w:rPr>
          <w:rFonts w:hint="eastAsia" w:ascii="楷体_GB2312" w:hAnsi="楷体_GB2312" w:eastAsia="楷体_GB2312" w:cs="楷体_GB2312"/>
          <w:color w:val="auto"/>
          <w:kern w:val="0"/>
          <w:sz w:val="24"/>
          <w:szCs w:val="24"/>
          <w:lang w:val="en-US" w:eastAsia="zh-CN"/>
        </w:rPr>
        <w:t>肆</w:t>
      </w:r>
      <w:r>
        <w:rPr>
          <w:rFonts w:hint="eastAsia" w:ascii="楷体_GB2312" w:hAnsi="楷体_GB2312" w:eastAsia="楷体_GB2312" w:cs="楷体_GB2312"/>
          <w:color w:val="auto"/>
          <w:kern w:val="0"/>
          <w:sz w:val="24"/>
          <w:szCs w:val="24"/>
        </w:rPr>
        <w:t>份，具有同等法律效力，甲乙双方各</w:t>
      </w:r>
      <w:r>
        <w:rPr>
          <w:rFonts w:hint="eastAsia" w:ascii="楷体_GB2312" w:hAnsi="楷体_GB2312" w:eastAsia="楷体_GB2312" w:cs="楷体_GB2312"/>
          <w:color w:val="auto"/>
          <w:kern w:val="0"/>
          <w:sz w:val="24"/>
          <w:szCs w:val="24"/>
          <w:lang w:eastAsia="zh-CN"/>
        </w:rPr>
        <w:t>贰</w:t>
      </w:r>
      <w:r>
        <w:rPr>
          <w:rFonts w:hint="eastAsia" w:ascii="楷体_GB2312" w:hAnsi="楷体_GB2312" w:eastAsia="楷体_GB2312" w:cs="楷体_GB2312"/>
          <w:color w:val="auto"/>
          <w:kern w:val="0"/>
          <w:sz w:val="24"/>
          <w:szCs w:val="24"/>
        </w:rPr>
        <w:t>份。</w:t>
      </w:r>
    </w:p>
    <w:p w14:paraId="4485F1D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5.本条款不因合同的变更、解除和终止而失效。</w:t>
      </w:r>
    </w:p>
    <w:tbl>
      <w:tblPr>
        <w:tblStyle w:val="26"/>
        <w:tblW w:w="874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361"/>
        <w:gridCol w:w="1058"/>
        <w:gridCol w:w="3307"/>
      </w:tblGrid>
      <w:tr w14:paraId="492F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19" w:type="dxa"/>
            <w:tcBorders>
              <w:top w:val="nil"/>
              <w:left w:val="nil"/>
              <w:bottom w:val="nil"/>
              <w:right w:val="nil"/>
            </w:tcBorders>
          </w:tcPr>
          <w:p w14:paraId="5B7EAB8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甲方：</w:t>
            </w:r>
          </w:p>
        </w:tc>
        <w:tc>
          <w:tcPr>
            <w:tcW w:w="3361" w:type="dxa"/>
            <w:tcBorders>
              <w:top w:val="nil"/>
              <w:left w:val="nil"/>
              <w:bottom w:val="nil"/>
              <w:right w:val="nil"/>
            </w:tcBorders>
          </w:tcPr>
          <w:p w14:paraId="72E0A50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 xml:space="preserve">  </w:t>
            </w:r>
          </w:p>
        </w:tc>
        <w:tc>
          <w:tcPr>
            <w:tcW w:w="1058" w:type="dxa"/>
            <w:tcBorders>
              <w:top w:val="nil"/>
              <w:left w:val="nil"/>
              <w:bottom w:val="nil"/>
              <w:right w:val="nil"/>
            </w:tcBorders>
          </w:tcPr>
          <w:p w14:paraId="49F6846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乙方：</w:t>
            </w:r>
          </w:p>
        </w:tc>
        <w:tc>
          <w:tcPr>
            <w:tcW w:w="3307" w:type="dxa"/>
            <w:tcBorders>
              <w:top w:val="nil"/>
              <w:left w:val="nil"/>
              <w:bottom w:val="nil"/>
              <w:right w:val="nil"/>
            </w:tcBorders>
          </w:tcPr>
          <w:p w14:paraId="680F16C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楷体_GB2312" w:hAnsi="楷体_GB2312" w:eastAsia="楷体_GB2312" w:cs="楷体_GB2312"/>
                <w:color w:val="auto"/>
                <w:kern w:val="0"/>
                <w:sz w:val="24"/>
                <w:szCs w:val="24"/>
              </w:rPr>
            </w:pPr>
          </w:p>
        </w:tc>
      </w:tr>
    </w:tbl>
    <w:p w14:paraId="481669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_GB2312" w:hAnsi="楷体_GB2312" w:eastAsia="楷体_GB2312" w:cs="楷体_GB2312"/>
          <w:color w:val="auto"/>
          <w:kern w:val="0"/>
          <w:sz w:val="24"/>
          <w:szCs w:val="24"/>
        </w:rPr>
      </w:pPr>
    </w:p>
    <w:p w14:paraId="42CEEB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法定代表人（负责人）：         法定代表人（负责人）：</w:t>
      </w:r>
    </w:p>
    <w:p w14:paraId="2E203D7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p>
    <w:p w14:paraId="51B8B07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授权代表：                     授权代表：</w:t>
      </w:r>
    </w:p>
    <w:p w14:paraId="65F7ACE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p>
    <w:p w14:paraId="3F00475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年   月  日                    年   月  日</w:t>
      </w:r>
    </w:p>
    <w:p w14:paraId="4E9285DE">
      <w:pPr>
        <w:jc w:val="center"/>
        <w:rPr>
          <w:rFonts w:hint="eastAsia" w:ascii="宋体" w:hAnsi="宋体"/>
          <w:color w:val="auto"/>
          <w:sz w:val="24"/>
        </w:rPr>
      </w:pPr>
    </w:p>
    <w:p w14:paraId="11520002">
      <w:pPr>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br w:type="page"/>
      </w:r>
    </w:p>
    <w:p w14:paraId="542575CD">
      <w:pPr>
        <w:pStyle w:val="3"/>
        <w:bidi w:val="0"/>
        <w:rPr>
          <w:rFonts w:hint="eastAsia" w:ascii="宋体" w:hAnsi="宋体" w:eastAsia="宋体" w:cs="宋体"/>
          <w:color w:val="auto"/>
          <w:sz w:val="30"/>
          <w:szCs w:val="30"/>
          <w:lang w:val="en-US" w:eastAsia="zh-CN"/>
        </w:rPr>
      </w:pPr>
      <w:bookmarkStart w:id="54" w:name="_Toc15197"/>
      <w:r>
        <w:rPr>
          <w:rFonts w:hint="eastAsia" w:ascii="宋体" w:hAnsi="宋体" w:eastAsia="宋体" w:cs="宋体"/>
          <w:color w:val="auto"/>
          <w:sz w:val="30"/>
          <w:szCs w:val="30"/>
          <w:lang w:val="en-US" w:eastAsia="zh-CN"/>
        </w:rPr>
        <w:t>第六章 评审办法及评分标准</w:t>
      </w:r>
      <w:bookmarkEnd w:id="52"/>
      <w:bookmarkEnd w:id="54"/>
    </w:p>
    <w:p w14:paraId="13D6D851">
      <w:pPr>
        <w:bidi w:val="0"/>
        <w:rPr>
          <w:rFonts w:hint="eastAsia"/>
          <w:color w:val="auto"/>
        </w:rPr>
      </w:pPr>
    </w:p>
    <w:p w14:paraId="03358AD3">
      <w:pPr>
        <w:pStyle w:val="4"/>
        <w:spacing w:line="360" w:lineRule="auto"/>
        <w:ind w:left="0" w:leftChars="0" w:firstLine="0" w:firstLineChars="0"/>
        <w:jc w:val="center"/>
        <w:rPr>
          <w:color w:val="auto"/>
          <w:highlight w:val="none"/>
        </w:rPr>
      </w:pPr>
      <w:r>
        <w:rPr>
          <w:rFonts w:hint="eastAsia"/>
          <w:color w:val="auto"/>
          <w:highlight w:val="none"/>
        </w:rPr>
        <w:t>评审办法及评分标准</w:t>
      </w:r>
    </w:p>
    <w:p w14:paraId="44BB1E12">
      <w:pPr>
        <w:pStyle w:val="4"/>
        <w:spacing w:line="360" w:lineRule="auto"/>
        <w:ind w:left="15" w:leftChars="0" w:hanging="15" w:hangingChars="5"/>
        <w:jc w:val="center"/>
        <w:rPr>
          <w:rFonts w:hint="eastAsia"/>
          <w:color w:val="auto"/>
          <w:highlight w:val="none"/>
        </w:rPr>
      </w:pPr>
      <w:r>
        <w:rPr>
          <w:rFonts w:hint="eastAsia"/>
          <w:color w:val="auto"/>
          <w:highlight w:val="none"/>
        </w:rPr>
        <w:t>综合评分法</w:t>
      </w:r>
    </w:p>
    <w:p w14:paraId="6AC7E5F9">
      <w:pPr>
        <w:keepNext w:val="0"/>
        <w:keepLines w:val="0"/>
        <w:pageBreakBefore w:val="0"/>
        <w:widowControl/>
        <w:kinsoku/>
        <w:wordWrap/>
        <w:overflowPunct/>
        <w:topLinePunct w:val="0"/>
        <w:autoSpaceDE/>
        <w:autoSpaceDN/>
        <w:bidi w:val="0"/>
        <w:adjustRightInd w:val="0"/>
        <w:snapToGrid w:val="0"/>
        <w:spacing w:line="320" w:lineRule="exact"/>
        <w:ind w:firstLine="446" w:firstLineChars="202"/>
        <w:textAlignment w:val="auto"/>
        <w:rPr>
          <w:rFonts w:hint="eastAsia"/>
          <w:b/>
          <w:color w:val="auto"/>
          <w:szCs w:val="21"/>
        </w:rPr>
      </w:pPr>
      <w:r>
        <w:rPr>
          <w:rFonts w:hint="eastAsia"/>
          <w:b/>
          <w:color w:val="auto"/>
          <w:szCs w:val="21"/>
        </w:rPr>
        <w:t>一、磋商原则</w:t>
      </w:r>
    </w:p>
    <w:p w14:paraId="1D99DF75">
      <w:pPr>
        <w:keepNext w:val="0"/>
        <w:keepLines w:val="0"/>
        <w:pageBreakBefore w:val="0"/>
        <w:widowControl/>
        <w:kinsoku/>
        <w:wordWrap/>
        <w:overflowPunct/>
        <w:topLinePunct w:val="0"/>
        <w:autoSpaceDE/>
        <w:autoSpaceDN/>
        <w:bidi w:val="0"/>
        <w:adjustRightInd w:val="0"/>
        <w:snapToGrid w:val="0"/>
        <w:spacing w:line="320" w:lineRule="exact"/>
        <w:ind w:firstLine="444" w:firstLineChars="202"/>
        <w:textAlignment w:val="auto"/>
        <w:rPr>
          <w:rFonts w:hint="eastAsia"/>
          <w:b w:val="0"/>
          <w:color w:val="auto"/>
          <w:szCs w:val="21"/>
        </w:rPr>
      </w:pPr>
      <w:r>
        <w:rPr>
          <w:rFonts w:hint="eastAsia"/>
          <w:b w:val="0"/>
          <w:color w:val="auto"/>
          <w:szCs w:val="21"/>
        </w:rPr>
        <w:t>(一)磋商小组构成：本采购项目的磋商小组由采购人代表和有关技术标、经济标等方面的专家组成，成员人数应当为三人以上单数。其中，技术标、经济标等方面的专家不得少于成员总数的三分之二。</w:t>
      </w:r>
    </w:p>
    <w:p w14:paraId="65A4C0BB">
      <w:pPr>
        <w:keepNext w:val="0"/>
        <w:keepLines w:val="0"/>
        <w:pageBreakBefore w:val="0"/>
        <w:widowControl/>
        <w:kinsoku/>
        <w:wordWrap/>
        <w:overflowPunct/>
        <w:topLinePunct w:val="0"/>
        <w:autoSpaceDE/>
        <w:autoSpaceDN/>
        <w:bidi w:val="0"/>
        <w:adjustRightInd w:val="0"/>
        <w:snapToGrid w:val="0"/>
        <w:spacing w:line="320" w:lineRule="exact"/>
        <w:ind w:firstLine="444" w:firstLineChars="202"/>
        <w:textAlignment w:val="auto"/>
        <w:rPr>
          <w:rFonts w:hint="eastAsia"/>
          <w:b w:val="0"/>
          <w:color w:val="auto"/>
          <w:szCs w:val="21"/>
        </w:rPr>
      </w:pPr>
      <w:r>
        <w:rPr>
          <w:rFonts w:hint="eastAsia"/>
          <w:b w:val="0"/>
          <w:color w:val="auto"/>
          <w:szCs w:val="21"/>
        </w:rPr>
        <w:t>（二)磋商依据：评委将以磋商文件、磋商响应文件为磋商依据，对磋商供应商的投标报价、技术、</w:t>
      </w:r>
      <w:r>
        <w:rPr>
          <w:rFonts w:hint="eastAsia"/>
          <w:b w:val="0"/>
          <w:color w:val="auto"/>
          <w:szCs w:val="21"/>
          <w:lang w:val="en-US" w:eastAsia="zh-CN"/>
        </w:rPr>
        <w:t>技术支持</w:t>
      </w:r>
      <w:r>
        <w:rPr>
          <w:rFonts w:hint="eastAsia"/>
          <w:b w:val="0"/>
          <w:color w:val="auto"/>
          <w:szCs w:val="21"/>
        </w:rPr>
        <w:t>、</w:t>
      </w:r>
      <w:r>
        <w:rPr>
          <w:rFonts w:hint="eastAsia"/>
          <w:b w:val="0"/>
          <w:color w:val="auto"/>
          <w:szCs w:val="21"/>
          <w:lang w:val="en-US" w:eastAsia="zh-CN"/>
        </w:rPr>
        <w:t>商务</w:t>
      </w:r>
      <w:r>
        <w:rPr>
          <w:rFonts w:hint="eastAsia"/>
          <w:b w:val="0"/>
          <w:color w:val="auto"/>
          <w:szCs w:val="21"/>
        </w:rPr>
        <w:t>等五个方面内容按百分制打分。</w:t>
      </w:r>
    </w:p>
    <w:p w14:paraId="2F3B21E1">
      <w:pPr>
        <w:keepNext w:val="0"/>
        <w:keepLines w:val="0"/>
        <w:pageBreakBefore w:val="0"/>
        <w:widowControl/>
        <w:kinsoku/>
        <w:wordWrap/>
        <w:overflowPunct/>
        <w:topLinePunct w:val="0"/>
        <w:autoSpaceDE/>
        <w:autoSpaceDN/>
        <w:bidi w:val="0"/>
        <w:adjustRightInd w:val="0"/>
        <w:snapToGrid w:val="0"/>
        <w:spacing w:line="320" w:lineRule="exact"/>
        <w:ind w:firstLine="444" w:firstLineChars="202"/>
        <w:textAlignment w:val="auto"/>
        <w:rPr>
          <w:rFonts w:hint="eastAsia"/>
          <w:b w:val="0"/>
          <w:bCs/>
          <w:color w:val="auto"/>
          <w:szCs w:val="21"/>
        </w:rPr>
      </w:pPr>
      <w:r>
        <w:rPr>
          <w:rFonts w:hint="eastAsia"/>
          <w:b w:val="0"/>
          <w:color w:val="auto"/>
          <w:szCs w:val="21"/>
        </w:rPr>
        <w:t>(三)磋商方式：以封闭方式进行。</w:t>
      </w:r>
    </w:p>
    <w:p w14:paraId="413049C6">
      <w:pPr>
        <w:keepNext w:val="0"/>
        <w:keepLines w:val="0"/>
        <w:pageBreakBefore w:val="0"/>
        <w:widowControl/>
        <w:kinsoku/>
        <w:wordWrap/>
        <w:overflowPunct/>
        <w:topLinePunct w:val="0"/>
        <w:autoSpaceDE/>
        <w:autoSpaceDN/>
        <w:bidi w:val="0"/>
        <w:adjustRightInd w:val="0"/>
        <w:snapToGrid w:val="0"/>
        <w:spacing w:line="320" w:lineRule="exact"/>
        <w:ind w:firstLine="446" w:firstLineChars="202"/>
        <w:textAlignment w:val="auto"/>
        <w:rPr>
          <w:b/>
          <w:color w:val="auto"/>
          <w:szCs w:val="21"/>
        </w:rPr>
      </w:pPr>
      <w:r>
        <w:rPr>
          <w:rFonts w:hint="eastAsia"/>
          <w:b/>
          <w:color w:val="auto"/>
          <w:szCs w:val="21"/>
        </w:rPr>
        <w:t>二、评标方法</w:t>
      </w:r>
    </w:p>
    <w:p w14:paraId="575C147B">
      <w:pPr>
        <w:keepNext w:val="0"/>
        <w:keepLines w:val="0"/>
        <w:pageBreakBefore w:val="0"/>
        <w:widowControl/>
        <w:kinsoku/>
        <w:wordWrap/>
        <w:overflowPunct/>
        <w:topLinePunct w:val="0"/>
        <w:autoSpaceDE/>
        <w:autoSpaceDN/>
        <w:bidi w:val="0"/>
        <w:adjustRightInd w:val="0"/>
        <w:snapToGrid w:val="0"/>
        <w:spacing w:line="320" w:lineRule="exact"/>
        <w:ind w:firstLine="444" w:firstLineChars="202"/>
        <w:textAlignment w:val="auto"/>
        <w:rPr>
          <w:rFonts w:hint="eastAsia"/>
          <w:color w:val="auto"/>
          <w:szCs w:val="21"/>
        </w:rPr>
      </w:pPr>
      <w:r>
        <w:rPr>
          <w:rFonts w:hint="eastAsia"/>
          <w:color w:val="auto"/>
          <w:szCs w:val="21"/>
        </w:rPr>
        <w:t>供应商提交的报价及资格材料经初核符合要求的进入详评，</w:t>
      </w:r>
      <w:r>
        <w:rPr>
          <w:rFonts w:hint="eastAsia"/>
          <w:b w:val="0"/>
          <w:bCs/>
          <w:color w:val="auto"/>
          <w:szCs w:val="21"/>
        </w:rPr>
        <w:t>磋商</w:t>
      </w:r>
      <w:r>
        <w:rPr>
          <w:rFonts w:hint="eastAsia"/>
          <w:color w:val="auto"/>
          <w:szCs w:val="21"/>
        </w:rPr>
        <w:t>小组将按本评审办法和响应文件为评定依据，采用百分制综合评分法：</w:t>
      </w:r>
    </w:p>
    <w:p w14:paraId="5F894C8B">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（一）分值分配表</w:t>
      </w:r>
    </w:p>
    <w:tbl>
      <w:tblPr>
        <w:tblStyle w:val="26"/>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3774"/>
        <w:gridCol w:w="3595"/>
      </w:tblGrid>
      <w:tr w14:paraId="30CB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89" w:type="dxa"/>
            <w:vAlign w:val="top"/>
          </w:tcPr>
          <w:p w14:paraId="7CF43999">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3774" w:type="dxa"/>
            <w:vAlign w:val="top"/>
          </w:tcPr>
          <w:p w14:paraId="02747508">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评分因素</w:t>
            </w:r>
          </w:p>
        </w:tc>
        <w:tc>
          <w:tcPr>
            <w:tcW w:w="3595" w:type="dxa"/>
            <w:vAlign w:val="top"/>
          </w:tcPr>
          <w:p w14:paraId="6707AEFD">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分值分配</w:t>
            </w:r>
          </w:p>
        </w:tc>
      </w:tr>
      <w:tr w14:paraId="7757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89" w:type="dxa"/>
            <w:vAlign w:val="top"/>
          </w:tcPr>
          <w:p w14:paraId="6EEBF550">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774" w:type="dxa"/>
            <w:vAlign w:val="top"/>
          </w:tcPr>
          <w:p w14:paraId="62C97290">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价格分</w:t>
            </w:r>
          </w:p>
        </w:tc>
        <w:tc>
          <w:tcPr>
            <w:tcW w:w="3595" w:type="dxa"/>
            <w:vAlign w:val="top"/>
          </w:tcPr>
          <w:p w14:paraId="2A786259">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r>
      <w:tr w14:paraId="3046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89" w:type="dxa"/>
            <w:vAlign w:val="top"/>
          </w:tcPr>
          <w:p w14:paraId="6FDDD032">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774" w:type="dxa"/>
            <w:vAlign w:val="top"/>
          </w:tcPr>
          <w:p w14:paraId="63F3D3FF">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技术分</w:t>
            </w:r>
          </w:p>
        </w:tc>
        <w:tc>
          <w:tcPr>
            <w:tcW w:w="3595" w:type="dxa"/>
            <w:vAlign w:val="top"/>
          </w:tcPr>
          <w:p w14:paraId="05E1F70F">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r>
      <w:tr w14:paraId="1497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89" w:type="dxa"/>
            <w:vAlign w:val="top"/>
          </w:tcPr>
          <w:p w14:paraId="6C54B518">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w:t>
            </w:r>
          </w:p>
        </w:tc>
        <w:tc>
          <w:tcPr>
            <w:tcW w:w="3774" w:type="dxa"/>
            <w:vAlign w:val="top"/>
          </w:tcPr>
          <w:p w14:paraId="25D44428">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技术支持分</w:t>
            </w:r>
          </w:p>
        </w:tc>
        <w:tc>
          <w:tcPr>
            <w:tcW w:w="3595" w:type="dxa"/>
            <w:vAlign w:val="top"/>
          </w:tcPr>
          <w:p w14:paraId="66D037E5">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w:t>
            </w:r>
          </w:p>
        </w:tc>
      </w:tr>
      <w:tr w14:paraId="3B1E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89" w:type="dxa"/>
            <w:vAlign w:val="top"/>
          </w:tcPr>
          <w:p w14:paraId="12F2D482">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w:t>
            </w:r>
          </w:p>
        </w:tc>
        <w:tc>
          <w:tcPr>
            <w:tcW w:w="3774" w:type="dxa"/>
            <w:vAlign w:val="top"/>
          </w:tcPr>
          <w:p w14:paraId="37926CFD">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商务分</w:t>
            </w:r>
          </w:p>
        </w:tc>
        <w:tc>
          <w:tcPr>
            <w:tcW w:w="3595" w:type="dxa"/>
            <w:vAlign w:val="top"/>
          </w:tcPr>
          <w:p w14:paraId="4D9559D4">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r>
              <w:rPr>
                <w:rFonts w:hint="eastAsia" w:ascii="Times New Roman" w:hAnsi="Times New Roman" w:cs="Times New Roman"/>
                <w:color w:val="auto"/>
                <w:sz w:val="21"/>
                <w:szCs w:val="21"/>
                <w:vertAlign w:val="baseline"/>
                <w:lang w:val="en-US" w:eastAsia="zh-CN"/>
              </w:rPr>
              <w:t>5</w:t>
            </w:r>
          </w:p>
        </w:tc>
      </w:tr>
      <w:tr w14:paraId="7B42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89" w:type="dxa"/>
            <w:vAlign w:val="top"/>
          </w:tcPr>
          <w:p w14:paraId="177464F0">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3774" w:type="dxa"/>
            <w:vAlign w:val="top"/>
          </w:tcPr>
          <w:p w14:paraId="0BD989D8">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3595" w:type="dxa"/>
            <w:vAlign w:val="top"/>
          </w:tcPr>
          <w:p w14:paraId="44895DCA">
            <w:pPr>
              <w:pStyle w:val="5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r>
    </w:tbl>
    <w:p w14:paraId="21CDEF8C">
      <w:pPr>
        <w:spacing w:line="300" w:lineRule="auto"/>
        <w:ind w:firstLine="424" w:firstLineChars="202"/>
        <w:rPr>
          <w:rFonts w:hint="eastAsia" w:ascii="黑体" w:hAnsi="黑体" w:eastAsia="黑体" w:cs="黑体"/>
          <w:b w:val="0"/>
          <w:bCs/>
          <w:color w:val="auto"/>
          <w:sz w:val="21"/>
          <w:szCs w:val="21"/>
        </w:rPr>
      </w:pPr>
      <w:r>
        <w:rPr>
          <w:rFonts w:hint="eastAsia" w:ascii="宋体" w:hAnsi="宋体" w:eastAsia="宋体" w:cs="宋体"/>
          <w:b w:val="0"/>
          <w:bCs/>
          <w:color w:val="auto"/>
          <w:sz w:val="21"/>
          <w:szCs w:val="21"/>
          <w:lang w:val="en-US" w:eastAsia="zh-CN"/>
        </w:rPr>
        <w:t>（二）</w:t>
      </w:r>
      <w:r>
        <w:rPr>
          <w:rFonts w:hint="eastAsia" w:ascii="宋体" w:hAnsi="宋体" w:eastAsia="宋体" w:cs="宋体"/>
          <w:b w:val="0"/>
          <w:bCs/>
          <w:color w:val="auto"/>
          <w:szCs w:val="21"/>
        </w:rPr>
        <w:t>评</w:t>
      </w:r>
      <w:r>
        <w:rPr>
          <w:rFonts w:hint="eastAsia" w:ascii="宋体" w:hAnsi="宋体" w:cs="宋体"/>
          <w:b w:val="0"/>
          <w:bCs/>
          <w:color w:val="auto"/>
          <w:szCs w:val="21"/>
          <w:lang w:val="en-US" w:eastAsia="zh-CN"/>
        </w:rPr>
        <w:t>分</w:t>
      </w:r>
      <w:r>
        <w:rPr>
          <w:rFonts w:hint="eastAsia" w:ascii="宋体" w:hAnsi="宋体" w:eastAsia="宋体" w:cs="宋体"/>
          <w:b w:val="0"/>
          <w:bCs/>
          <w:color w:val="auto"/>
          <w:szCs w:val="21"/>
        </w:rPr>
        <w:t>细则（按四舍五入取至百分位）</w:t>
      </w:r>
    </w:p>
    <w:tbl>
      <w:tblPr>
        <w:tblStyle w:val="25"/>
        <w:tblW w:w="86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7"/>
        <w:gridCol w:w="1187"/>
        <w:gridCol w:w="6787"/>
      </w:tblGrid>
      <w:tr w14:paraId="3D511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1FDCE439">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87" w:type="dxa"/>
            <w:tcBorders>
              <w:top w:val="single" w:color="auto" w:sz="4" w:space="0"/>
              <w:left w:val="single" w:color="auto" w:sz="4" w:space="0"/>
              <w:bottom w:val="single" w:color="auto" w:sz="4" w:space="0"/>
              <w:right w:val="single" w:color="auto" w:sz="4" w:space="0"/>
            </w:tcBorders>
            <w:vAlign w:val="center"/>
          </w:tcPr>
          <w:p w14:paraId="68F89B2F">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评分内容</w:t>
            </w:r>
          </w:p>
        </w:tc>
        <w:tc>
          <w:tcPr>
            <w:tcW w:w="6787" w:type="dxa"/>
            <w:tcBorders>
              <w:top w:val="single" w:color="auto" w:sz="4" w:space="0"/>
              <w:left w:val="single" w:color="auto" w:sz="4" w:space="0"/>
              <w:bottom w:val="single" w:color="auto" w:sz="4" w:space="0"/>
              <w:right w:val="single" w:color="auto" w:sz="4" w:space="0"/>
            </w:tcBorders>
            <w:vAlign w:val="center"/>
          </w:tcPr>
          <w:p w14:paraId="44C67099">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评分标准</w:t>
            </w:r>
          </w:p>
        </w:tc>
      </w:tr>
      <w:tr w14:paraId="3E820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jc w:val="center"/>
        </w:trPr>
        <w:tc>
          <w:tcPr>
            <w:tcW w:w="8651" w:type="dxa"/>
            <w:gridSpan w:val="3"/>
            <w:tcBorders>
              <w:top w:val="single" w:color="auto" w:sz="4" w:space="0"/>
              <w:left w:val="single" w:color="auto" w:sz="4" w:space="0"/>
              <w:bottom w:val="single" w:color="auto" w:sz="4" w:space="0"/>
              <w:right w:val="single" w:color="auto" w:sz="4" w:space="0"/>
            </w:tcBorders>
            <w:vAlign w:val="center"/>
          </w:tcPr>
          <w:p w14:paraId="40572459">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楷体_GB2312" w:cs="Times New Roman"/>
                <w:b w:val="0"/>
                <w:bCs/>
                <w:color w:val="auto"/>
                <w:kern w:val="0"/>
                <w:sz w:val="21"/>
                <w:szCs w:val="21"/>
                <w:lang w:val="zh-CN" w:bidi="zh-CN"/>
              </w:rPr>
              <w:t>（</w:t>
            </w:r>
            <w:r>
              <w:rPr>
                <w:rFonts w:hint="default" w:ascii="Times New Roman" w:hAnsi="Times New Roman" w:eastAsia="楷体_GB2312" w:cs="Times New Roman"/>
                <w:b w:val="0"/>
                <w:bCs/>
                <w:color w:val="auto"/>
                <w:kern w:val="0"/>
                <w:sz w:val="21"/>
                <w:szCs w:val="21"/>
                <w:lang w:val="en-US" w:bidi="zh-CN"/>
              </w:rPr>
              <w:t>一</w:t>
            </w:r>
            <w:r>
              <w:rPr>
                <w:rFonts w:hint="default" w:ascii="Times New Roman" w:hAnsi="Times New Roman" w:eastAsia="楷体_GB2312" w:cs="Times New Roman"/>
                <w:b w:val="0"/>
                <w:bCs/>
                <w:color w:val="auto"/>
                <w:kern w:val="0"/>
                <w:sz w:val="21"/>
                <w:szCs w:val="21"/>
                <w:lang w:val="zh-CN" w:bidi="zh-CN"/>
              </w:rPr>
              <w:t>）价格</w:t>
            </w:r>
            <w:r>
              <w:rPr>
                <w:rFonts w:hint="eastAsia" w:ascii="Times New Roman" w:hAnsi="Times New Roman" w:eastAsia="楷体_GB2312" w:cs="Times New Roman"/>
                <w:b w:val="0"/>
                <w:bCs/>
                <w:color w:val="auto"/>
                <w:kern w:val="0"/>
                <w:sz w:val="21"/>
                <w:szCs w:val="21"/>
                <w:lang w:val="en-US" w:bidi="zh-CN"/>
              </w:rPr>
              <w:t>部</w:t>
            </w:r>
            <w:r>
              <w:rPr>
                <w:rFonts w:hint="default" w:ascii="Times New Roman" w:hAnsi="Times New Roman" w:eastAsia="楷体_GB2312" w:cs="Times New Roman"/>
                <w:b w:val="0"/>
                <w:bCs/>
                <w:color w:val="auto"/>
                <w:kern w:val="0"/>
                <w:sz w:val="21"/>
                <w:szCs w:val="21"/>
                <w:lang w:val="zh-CN" w:bidi="zh-CN"/>
              </w:rPr>
              <w:t>分</w:t>
            </w:r>
            <w:r>
              <w:rPr>
                <w:rFonts w:hint="default" w:ascii="Times New Roman" w:hAnsi="Times New Roman" w:eastAsia="楷体_GB2312" w:cs="Times New Roman"/>
                <w:b w:val="0"/>
                <w:bCs w:val="0"/>
                <w:color w:val="auto"/>
              </w:rPr>
              <w:t>（满分</w:t>
            </w:r>
            <w:r>
              <w:rPr>
                <w:rFonts w:hint="eastAsia" w:ascii="Times New Roman" w:hAnsi="Times New Roman" w:eastAsia="楷体_GB2312" w:cs="Times New Roman"/>
                <w:b w:val="0"/>
                <w:bCs w:val="0"/>
                <w:color w:val="auto"/>
                <w:lang w:val="en-US" w:eastAsia="zh-CN"/>
              </w:rPr>
              <w:t>15</w:t>
            </w:r>
            <w:r>
              <w:rPr>
                <w:rFonts w:hint="default" w:ascii="Times New Roman" w:hAnsi="Times New Roman" w:eastAsia="楷体_GB2312" w:cs="Times New Roman"/>
                <w:b w:val="0"/>
                <w:bCs w:val="0"/>
                <w:color w:val="auto"/>
              </w:rPr>
              <w:t>分）</w:t>
            </w:r>
          </w:p>
        </w:tc>
      </w:tr>
      <w:tr w14:paraId="458E35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77"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14D48E13">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187" w:type="dxa"/>
            <w:tcBorders>
              <w:top w:val="single" w:color="auto" w:sz="4" w:space="0"/>
              <w:left w:val="single" w:color="auto" w:sz="4" w:space="0"/>
              <w:bottom w:val="single" w:color="auto" w:sz="4" w:space="0"/>
              <w:right w:val="single" w:color="auto" w:sz="4" w:space="0"/>
            </w:tcBorders>
            <w:vAlign w:val="center"/>
          </w:tcPr>
          <w:p w14:paraId="177566A4">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lang w:val="zh-CN" w:bidi="zh-CN"/>
              </w:rPr>
              <w:t>价格分</w:t>
            </w:r>
            <w:r>
              <w:rPr>
                <w:rFonts w:hint="default" w:ascii="Times New Roman" w:hAnsi="Times New Roman" w:eastAsia="宋体" w:cs="Times New Roman"/>
                <w:bCs/>
                <w:color w:val="auto"/>
                <w:kern w:val="0"/>
                <w:sz w:val="21"/>
                <w:szCs w:val="21"/>
                <w:lang w:val="en-US" w:bidi="zh-CN"/>
              </w:rPr>
              <w:t xml:space="preserve">     </w:t>
            </w:r>
            <w:r>
              <w:rPr>
                <w:rFonts w:hint="default" w:ascii="Times New Roman" w:hAnsi="Times New Roman" w:eastAsia="宋体" w:cs="Times New Roman"/>
                <w:bCs/>
                <w:color w:val="auto"/>
                <w:kern w:val="0"/>
                <w:sz w:val="21"/>
                <w:szCs w:val="21"/>
                <w:lang w:val="zh-CN" w:bidi="zh-CN"/>
              </w:rPr>
              <w:t>（满分</w:t>
            </w:r>
            <w:r>
              <w:rPr>
                <w:rFonts w:hint="eastAsia" w:ascii="Times New Roman" w:hAnsi="Times New Roman" w:cs="Times New Roman"/>
                <w:bCs/>
                <w:color w:val="auto"/>
                <w:kern w:val="0"/>
                <w:sz w:val="21"/>
                <w:szCs w:val="21"/>
                <w:lang w:val="en-US" w:bidi="zh-CN"/>
              </w:rPr>
              <w:t>15</w:t>
            </w:r>
            <w:r>
              <w:rPr>
                <w:rFonts w:hint="default" w:ascii="Times New Roman" w:hAnsi="Times New Roman" w:eastAsia="宋体" w:cs="Times New Roman"/>
                <w:bCs/>
                <w:color w:val="auto"/>
                <w:kern w:val="0"/>
                <w:sz w:val="21"/>
                <w:szCs w:val="21"/>
                <w:lang w:val="zh-CN" w:bidi="zh-CN"/>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2C4ED2E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firstLine="42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投标报价得分=（全部供应商中的最低报价/某供应商投标报价）×</w:t>
            </w:r>
            <w:r>
              <w:rPr>
                <w:rFonts w:hint="eastAsia" w:ascii="Times New Roman" w:hAnsi="Times New Roman" w:cs="Times New Roman"/>
                <w:color w:val="auto"/>
                <w:sz w:val="21"/>
                <w:szCs w:val="21"/>
                <w:lang w:val="en-US" w:eastAsia="zh-CN"/>
              </w:rPr>
              <w:t>15</w:t>
            </w:r>
            <w:r>
              <w:rPr>
                <w:rFonts w:hint="eastAsia" w:ascii="Times New Roman" w:hAnsi="Times New Roman" w:eastAsia="宋体" w:cs="Times New Roman"/>
                <w:color w:val="auto"/>
                <w:sz w:val="21"/>
                <w:szCs w:val="21"/>
                <w:lang w:val="en-US" w:eastAsia="zh-CN"/>
              </w:rPr>
              <w:t>。</w:t>
            </w:r>
          </w:p>
          <w:p w14:paraId="26487B8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firstLine="42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根据《政府采购促进中小企业发展管理办法》（财库〔2020〕46 号）第九条</w:t>
            </w:r>
            <w:r>
              <w:rPr>
                <w:rFonts w:hint="default" w:ascii="Times New Roman" w:hAnsi="Times New Roman" w:eastAsia="宋体" w:cs="Times New Roman"/>
                <w:bCs/>
                <w:color w:val="auto"/>
                <w:sz w:val="21"/>
                <w:szCs w:val="21"/>
                <w:lang w:val="en-US" w:eastAsia="zh-CN"/>
              </w:rPr>
              <w:t>规定</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供应商为</w:t>
            </w:r>
            <w:r>
              <w:rPr>
                <w:rFonts w:hint="default" w:ascii="Times New Roman" w:hAnsi="Times New Roman" w:eastAsia="宋体" w:cs="Times New Roman"/>
                <w:bCs/>
                <w:color w:val="auto"/>
                <w:sz w:val="21"/>
                <w:szCs w:val="21"/>
              </w:rPr>
              <w:t>小型和微型企业</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并在其响应文件中提供《中小企业声明函》，且其所竞标产品为小型和微型企业生产的，</w:t>
            </w:r>
            <w:r>
              <w:rPr>
                <w:rFonts w:hint="default" w:ascii="Times New Roman" w:hAnsi="Times New Roman" w:eastAsia="宋体" w:cs="Times New Roman"/>
                <w:bCs/>
                <w:color w:val="auto"/>
                <w:sz w:val="21"/>
                <w:szCs w:val="21"/>
              </w:rPr>
              <w:t>对</w:t>
            </w:r>
            <w:r>
              <w:rPr>
                <w:rFonts w:hint="default" w:ascii="Times New Roman" w:hAnsi="Times New Roman" w:eastAsia="宋体" w:cs="Times New Roman"/>
                <w:bCs/>
                <w:color w:val="auto"/>
                <w:sz w:val="21"/>
                <w:szCs w:val="21"/>
                <w:lang w:val="en-US" w:eastAsia="zh-CN"/>
              </w:rPr>
              <w:t>其</w:t>
            </w:r>
            <w:r>
              <w:rPr>
                <w:rFonts w:hint="default" w:ascii="Times New Roman" w:hAnsi="Times New Roman" w:eastAsia="宋体" w:cs="Times New Roman"/>
                <w:bCs/>
                <w:color w:val="auto"/>
                <w:sz w:val="21"/>
                <w:szCs w:val="21"/>
              </w:rPr>
              <w:t>报价给予</w:t>
            </w:r>
            <w:r>
              <w:rPr>
                <w:rFonts w:hint="default"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rPr>
              <w:t>%的扣除，用扣除后的投标报价参与评审。</w:t>
            </w:r>
          </w:p>
          <w:p w14:paraId="7D61167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firstLine="420" w:firstLineChars="0"/>
              <w:jc w:val="left"/>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根据《关于政府采购支持监狱企业发展有关问题的通知》（财库〔2014〕68号）的要求，监狱企业视同小型、微型企业</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参加政府采购活动时，应当</w:t>
            </w:r>
            <w:r>
              <w:rPr>
                <w:rFonts w:hint="default" w:ascii="Times New Roman" w:hAnsi="Times New Roman" w:eastAsia="宋体" w:cs="Times New Roman"/>
                <w:bCs/>
                <w:color w:val="auto"/>
                <w:sz w:val="21"/>
                <w:szCs w:val="21"/>
              </w:rPr>
              <w:t>提供由省级以上监狱管理局、戒毒管理局（含新疆生产建设兵团）出具的属于监狱企业的证明文件</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未提供声明函者不予认定。</w:t>
            </w:r>
          </w:p>
          <w:p w14:paraId="0D5A7A26">
            <w:pPr>
              <w:widowControl/>
              <w:autoSpaceDE/>
              <w:autoSpaceDN/>
              <w:spacing w:before="0" w:beforeAutospacing="0" w:after="0" w:afterAutospacing="0"/>
              <w:ind w:left="0" w:right="0" w:firstLine="42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根据《关于促进残疾人就业政府采购政策的通知》（财库〔2017〕141号），残疾人福利性单位视同小型、微型企业，须提供《残疾人福利性单位声明函》，未提供声明函者不予认定。</w:t>
            </w:r>
            <w:r>
              <w:rPr>
                <w:rFonts w:hint="default" w:ascii="Times New Roman" w:hAnsi="Times New Roman" w:eastAsia="宋体" w:cs="Times New Roman"/>
                <w:bCs/>
                <w:color w:val="auto"/>
                <w:sz w:val="21"/>
                <w:szCs w:val="21"/>
                <w:lang w:val="en-US" w:eastAsia="zh-CN"/>
              </w:rPr>
              <w:t>不重复享受政策。</w:t>
            </w:r>
          </w:p>
          <w:p w14:paraId="1C2CEE24">
            <w:pPr>
              <w:widowControl/>
              <w:autoSpaceDE/>
              <w:autoSpaceDN/>
              <w:spacing w:before="0" w:beforeAutospacing="0" w:after="0" w:afterAutospacing="0"/>
              <w:ind w:left="0" w:right="0" w:firstLine="420"/>
              <w:rPr>
                <w:rFonts w:hint="default"/>
                <w:color w:val="auto"/>
                <w:lang w:val="en-US" w:eastAsia="zh-CN"/>
              </w:rPr>
            </w:pPr>
            <w:r>
              <w:rPr>
                <w:rFonts w:hint="default" w:ascii="Times New Roman" w:hAnsi="Times New Roman" w:eastAsia="宋体" w:cs="Times New Roman"/>
                <w:bCs/>
                <w:color w:val="auto"/>
                <w:sz w:val="21"/>
                <w:szCs w:val="21"/>
                <w:lang w:val="en-US" w:eastAsia="zh-CN"/>
              </w:rPr>
              <w:t>（4）评审价为供应商的报价进行政策性扣除后的价格，评审价只作为评审时使用。最终成交人的成交报价=最终报价。</w:t>
            </w:r>
          </w:p>
        </w:tc>
      </w:tr>
      <w:tr w14:paraId="26449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51" w:type="dxa"/>
            <w:gridSpan w:val="3"/>
            <w:tcBorders>
              <w:top w:val="single" w:color="auto" w:sz="4" w:space="0"/>
              <w:left w:val="single" w:color="auto" w:sz="4" w:space="0"/>
              <w:bottom w:val="single" w:color="auto" w:sz="4" w:space="0"/>
              <w:right w:val="single" w:color="auto" w:sz="4" w:space="0"/>
            </w:tcBorders>
            <w:vAlign w:val="center"/>
          </w:tcPr>
          <w:p w14:paraId="72588863">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rPr>
            </w:pPr>
            <w:r>
              <w:rPr>
                <w:rFonts w:hint="default" w:ascii="Times New Roman" w:hAnsi="Times New Roman" w:eastAsia="楷体_GB2312" w:cs="Times New Roman"/>
                <w:b w:val="0"/>
                <w:bCs w:val="0"/>
                <w:color w:val="auto"/>
                <w:lang w:val="en-US" w:eastAsia="zh-CN"/>
              </w:rPr>
              <w:t>（二）技术</w:t>
            </w:r>
            <w:r>
              <w:rPr>
                <w:rFonts w:hint="eastAsia" w:ascii="Times New Roman" w:hAnsi="Times New Roman" w:eastAsia="楷体_GB2312" w:cs="Times New Roman"/>
                <w:b w:val="0"/>
                <w:bCs w:val="0"/>
                <w:color w:val="auto"/>
                <w:lang w:val="en-US" w:eastAsia="zh-CN"/>
              </w:rPr>
              <w:t>部</w:t>
            </w:r>
            <w:r>
              <w:rPr>
                <w:rFonts w:hint="default" w:ascii="Times New Roman" w:hAnsi="Times New Roman" w:eastAsia="楷体_GB2312" w:cs="Times New Roman"/>
                <w:b w:val="0"/>
                <w:bCs w:val="0"/>
                <w:color w:val="auto"/>
              </w:rPr>
              <w:t>分（满分</w:t>
            </w:r>
            <w:r>
              <w:rPr>
                <w:rFonts w:hint="eastAsia" w:ascii="Times New Roman" w:hAnsi="Times New Roman" w:eastAsia="楷体_GB2312" w:cs="Times New Roman"/>
                <w:b w:val="0"/>
                <w:bCs w:val="0"/>
                <w:color w:val="auto"/>
                <w:lang w:val="en-US" w:eastAsia="zh-CN"/>
              </w:rPr>
              <w:t>15</w:t>
            </w:r>
            <w:r>
              <w:rPr>
                <w:rFonts w:hint="default" w:ascii="Times New Roman" w:hAnsi="Times New Roman" w:eastAsia="楷体_GB2312" w:cs="Times New Roman"/>
                <w:b w:val="0"/>
                <w:bCs w:val="0"/>
                <w:color w:val="auto"/>
              </w:rPr>
              <w:t>分）</w:t>
            </w:r>
          </w:p>
        </w:tc>
      </w:tr>
      <w:tr w14:paraId="19313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55FA3A4F">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1187" w:type="dxa"/>
            <w:tcBorders>
              <w:top w:val="single" w:color="auto" w:sz="4" w:space="0"/>
              <w:left w:val="single" w:color="auto" w:sz="4" w:space="0"/>
              <w:bottom w:val="single" w:color="auto" w:sz="4" w:space="0"/>
              <w:right w:val="single" w:color="auto" w:sz="4" w:space="0"/>
            </w:tcBorders>
            <w:vAlign w:val="center"/>
          </w:tcPr>
          <w:p w14:paraId="3F3FC4B1">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技术能力建设</w:t>
            </w:r>
            <w:r>
              <w:rPr>
                <w:rFonts w:hint="default" w:ascii="Times New Roman" w:hAnsi="Times New Roman" w:cs="Times New Roman"/>
                <w:color w:val="auto"/>
                <w:szCs w:val="21"/>
              </w:rPr>
              <w:t>（满分</w:t>
            </w:r>
            <w:r>
              <w:rPr>
                <w:rFonts w:hint="eastAsia" w:ascii="Times New Roman" w:hAnsi="Times New Roman" w:cs="Times New Roman"/>
                <w:color w:val="auto"/>
                <w:szCs w:val="21"/>
                <w:lang w:val="en-US" w:eastAsia="zh-CN"/>
              </w:rPr>
              <w:t>15</w:t>
            </w:r>
            <w:r>
              <w:rPr>
                <w:rFonts w:hint="default" w:ascii="Times New Roman" w:hAnsi="Times New Roman" w:cs="Times New Roman"/>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6FE3CED1">
            <w:pPr>
              <w:adjustRightInd w:val="0"/>
              <w:snapToGrid w:val="0"/>
              <w:spacing w:before="0" w:beforeAutospacing="0" w:after="0" w:afterAutospacing="0" w:line="340" w:lineRule="exact"/>
              <w:ind w:left="0" w:right="0" w:firstLine="440" w:firstLineChars="200"/>
              <w:jc w:val="left"/>
              <w:rPr>
                <w:rFonts w:hint="default" w:ascii="Times New Roman" w:hAnsi="Times New Roman"/>
                <w:color w:val="auto"/>
                <w:lang w:val="en-US" w:eastAsia="zh-CN"/>
              </w:rPr>
            </w:pPr>
            <w:r>
              <w:rPr>
                <w:rFonts w:hint="default" w:ascii="Times New Roman" w:hAnsi="Times New Roman" w:cs="Times New Roman"/>
                <w:color w:val="auto"/>
                <w:lang w:val="en-US" w:eastAsia="zh-CN"/>
              </w:rPr>
              <w:t>一</w:t>
            </w:r>
            <w:r>
              <w:rPr>
                <w:rFonts w:hint="default" w:ascii="Times New Roman" w:hAnsi="Times New Roman" w:cs="Times New Roman"/>
                <w:color w:val="auto"/>
                <w:lang w:val="en-US"/>
              </w:rPr>
              <w:t>档（</w:t>
            </w:r>
            <w:r>
              <w:rPr>
                <w:rFonts w:hint="default" w:ascii="Times New Roman" w:hAnsi="Times New Roman" w:cs="Times New Roman"/>
                <w:color w:val="auto"/>
                <w:lang w:val="en-US" w:eastAsia="zh-CN"/>
              </w:rPr>
              <w:t>15</w:t>
            </w:r>
            <w:r>
              <w:rPr>
                <w:rFonts w:hint="default" w:ascii="Times New Roman" w:hAnsi="Times New Roman" w:cs="Times New Roman"/>
                <w:color w:val="auto"/>
                <w:lang w:val="en-US"/>
              </w:rPr>
              <w:t>分）：</w:t>
            </w:r>
            <w:r>
              <w:rPr>
                <w:rFonts w:hint="eastAsia" w:ascii="Times New Roman" w:hAnsi="Times New Roman" w:cs="Times New Roman"/>
                <w:color w:val="auto"/>
                <w:lang w:val="en-US" w:eastAsia="zh-CN"/>
              </w:rPr>
              <w:t>具有环境监测国家级工程实验室或产品专利（认证）证书、质量体系认证证书、环境监测类服务奖项，具有工程系列生态环境行业高级工程师职称</w:t>
            </w:r>
            <w:r>
              <w:rPr>
                <w:rFonts w:hint="default" w:ascii="Times New Roman" w:hAnsi="Times New Roman" w:cs="Times New Roman"/>
                <w:color w:val="auto"/>
                <w:lang w:val="en-US" w:eastAsia="zh-CN"/>
              </w:rPr>
              <w:t>。</w:t>
            </w:r>
          </w:p>
          <w:p w14:paraId="6163DDF1">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w:t>
            </w:r>
            <w:r>
              <w:rPr>
                <w:rFonts w:hint="default" w:ascii="Times New Roman" w:hAnsi="Times New Roman" w:cs="Times New Roman"/>
                <w:color w:val="auto"/>
                <w:lang w:val="en-US"/>
              </w:rPr>
              <w:t>档（</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rPr>
              <w:t>分）：</w:t>
            </w:r>
            <w:r>
              <w:rPr>
                <w:rFonts w:hint="eastAsia" w:ascii="Times New Roman" w:hAnsi="Times New Roman" w:cs="Times New Roman"/>
                <w:color w:val="auto"/>
                <w:lang w:val="en-US" w:eastAsia="zh-CN"/>
              </w:rPr>
              <w:t>具有环境监测实验室或产品专利（认证）证书，具有环境监测类服务资质证书，具有工程系列生态环境行业中级工程师职称</w:t>
            </w:r>
            <w:r>
              <w:rPr>
                <w:rFonts w:hint="default" w:ascii="Times New Roman" w:hAnsi="Times New Roman" w:cs="Times New Roman"/>
                <w:color w:val="auto"/>
                <w:lang w:val="en-US" w:eastAsia="zh-CN"/>
              </w:rPr>
              <w:t>。</w:t>
            </w:r>
          </w:p>
          <w:p w14:paraId="73A8E209">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w:t>
            </w:r>
            <w:r>
              <w:rPr>
                <w:rFonts w:hint="default" w:ascii="Times New Roman" w:hAnsi="Times New Roman" w:cs="Times New Roman"/>
                <w:color w:val="auto"/>
                <w:lang w:val="en-US"/>
              </w:rPr>
              <w:t>档（</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rPr>
              <w:t>分）：</w:t>
            </w:r>
            <w:r>
              <w:rPr>
                <w:rFonts w:hint="eastAsia" w:ascii="Times New Roman" w:hAnsi="Times New Roman" w:cs="Times New Roman"/>
                <w:color w:val="auto"/>
                <w:lang w:val="en-US" w:eastAsia="zh-CN"/>
              </w:rPr>
              <w:t>具有环境监测类资质，具有工程系列生态环境行业初级工程师职称</w:t>
            </w:r>
            <w:r>
              <w:rPr>
                <w:rFonts w:hint="default" w:ascii="Times New Roman" w:hAnsi="Times New Roman" w:cs="Times New Roman"/>
                <w:color w:val="auto"/>
                <w:lang w:val="en-US" w:eastAsia="zh-CN"/>
              </w:rPr>
              <w:t>。</w:t>
            </w:r>
          </w:p>
          <w:p w14:paraId="22C1AE14">
            <w:pPr>
              <w:adjustRightInd w:val="0"/>
              <w:snapToGrid w:val="0"/>
              <w:spacing w:before="0" w:beforeAutospacing="0" w:after="0" w:afterAutospacing="0" w:line="340" w:lineRule="exact"/>
              <w:ind w:left="0" w:right="0" w:firstLine="440" w:firstLineChars="200"/>
              <w:jc w:val="left"/>
              <w:rPr>
                <w:rFonts w:hint="eastAsia" w:ascii="Times New Roman" w:hAnsi="Times New Roman"/>
                <w:color w:val="auto"/>
                <w:lang w:val="en-US" w:eastAsia="zh-CN"/>
              </w:rPr>
            </w:pPr>
            <w:r>
              <w:rPr>
                <w:rFonts w:hint="eastAsia" w:ascii="Times New Roman" w:hAnsi="Times New Roman" w:cs="Times New Roman"/>
                <w:color w:val="auto"/>
                <w:lang w:val="en-US" w:eastAsia="zh-CN"/>
              </w:rPr>
              <w:t>满足以上任何两项该档得满分，不满足以上任何一项的得0分。</w:t>
            </w:r>
          </w:p>
          <w:p w14:paraId="2EE73C17">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left"/>
              <w:textAlignment w:val="auto"/>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cs="Times New Roman"/>
                <w:color w:val="auto"/>
                <w:kern w:val="2"/>
                <w:sz w:val="21"/>
                <w:szCs w:val="20"/>
                <w:lang w:val="en-US" w:eastAsia="zh-CN" w:bidi="ar-SA"/>
              </w:rPr>
              <w:t>证明材料复印件需加盖公司公章，没有加盖公章或没有提供证明材料的视同没有。</w:t>
            </w:r>
          </w:p>
        </w:tc>
      </w:tr>
      <w:tr w14:paraId="44D09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9" w:hRule="atLeast"/>
          <w:jc w:val="center"/>
        </w:trPr>
        <w:tc>
          <w:tcPr>
            <w:tcW w:w="8651" w:type="dxa"/>
            <w:gridSpan w:val="3"/>
            <w:tcBorders>
              <w:top w:val="single" w:color="auto" w:sz="4" w:space="0"/>
              <w:left w:val="single" w:color="auto" w:sz="4" w:space="0"/>
              <w:bottom w:val="single" w:color="auto" w:sz="4" w:space="0"/>
              <w:right w:val="single" w:color="auto" w:sz="4" w:space="0"/>
            </w:tcBorders>
            <w:vAlign w:val="center"/>
          </w:tcPr>
          <w:p w14:paraId="67D99B53">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20" w:lineRule="exact"/>
              <w:ind w:left="440" w:leftChars="200" w:right="0"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eastAsia="楷体_GB2312" w:cs="Times New Roman"/>
                <w:b w:val="0"/>
                <w:bCs w:val="0"/>
                <w:color w:val="auto"/>
                <w:lang w:val="en-US" w:eastAsia="zh-CN"/>
              </w:rPr>
              <w:t>（三）技术支持</w:t>
            </w:r>
            <w:r>
              <w:rPr>
                <w:rFonts w:hint="eastAsia" w:ascii="Times New Roman" w:hAnsi="Times New Roman" w:eastAsia="楷体_GB2312" w:cs="Times New Roman"/>
                <w:b w:val="0"/>
                <w:bCs w:val="0"/>
                <w:color w:val="auto"/>
                <w:lang w:val="en-US" w:eastAsia="zh-CN"/>
              </w:rPr>
              <w:t>部</w:t>
            </w:r>
            <w:r>
              <w:rPr>
                <w:rFonts w:hint="default" w:ascii="Times New Roman" w:hAnsi="Times New Roman" w:eastAsia="楷体_GB2312" w:cs="Times New Roman"/>
                <w:b w:val="0"/>
                <w:bCs w:val="0"/>
                <w:color w:val="auto"/>
              </w:rPr>
              <w:t>分（满分</w:t>
            </w:r>
            <w:r>
              <w:rPr>
                <w:rFonts w:hint="eastAsia" w:ascii="Times New Roman" w:hAnsi="Times New Roman" w:eastAsia="楷体_GB2312" w:cs="Times New Roman"/>
                <w:b w:val="0"/>
                <w:bCs w:val="0"/>
                <w:color w:val="auto"/>
                <w:lang w:val="en-US" w:eastAsia="zh-CN"/>
              </w:rPr>
              <w:t>45</w:t>
            </w:r>
            <w:r>
              <w:rPr>
                <w:rFonts w:hint="default" w:ascii="Times New Roman" w:hAnsi="Times New Roman" w:eastAsia="楷体_GB2312" w:cs="Times New Roman"/>
                <w:b w:val="0"/>
                <w:bCs w:val="0"/>
                <w:color w:val="auto"/>
              </w:rPr>
              <w:t>分）</w:t>
            </w:r>
          </w:p>
        </w:tc>
      </w:tr>
      <w:tr w14:paraId="059C3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677" w:type="dxa"/>
            <w:tcBorders>
              <w:top w:val="single" w:color="auto" w:sz="4" w:space="0"/>
              <w:left w:val="single" w:color="auto" w:sz="4" w:space="0"/>
              <w:right w:val="single" w:color="auto" w:sz="4" w:space="0"/>
            </w:tcBorders>
            <w:vAlign w:val="center"/>
          </w:tcPr>
          <w:p w14:paraId="021537B4">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1187" w:type="dxa"/>
            <w:tcBorders>
              <w:top w:val="single" w:color="auto" w:sz="4" w:space="0"/>
              <w:left w:val="single" w:color="auto" w:sz="4" w:space="0"/>
              <w:right w:val="single" w:color="auto" w:sz="4" w:space="0"/>
            </w:tcBorders>
            <w:vAlign w:val="center"/>
          </w:tcPr>
          <w:p w14:paraId="36E15733">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人员配置</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szCs w:val="21"/>
              </w:rPr>
              <w:t>（满分</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589DFCEF">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运维人员配置需满足《项目采购需求》的要求。</w:t>
            </w:r>
          </w:p>
          <w:p w14:paraId="01E60CB8">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一档（</w:t>
            </w:r>
            <w:r>
              <w:rPr>
                <w:rFonts w:hint="eastAsia"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分）：拟投入人员有</w:t>
            </w:r>
            <w:r>
              <w:rPr>
                <w:rFonts w:hint="eastAsia" w:ascii="Times New Roman" w:hAnsi="Times New Roman" w:cs="Times New Roman"/>
                <w:color w:val="auto"/>
                <w:lang w:val="en-US" w:eastAsia="zh-CN"/>
              </w:rPr>
              <w:t>本科及</w:t>
            </w:r>
            <w:r>
              <w:rPr>
                <w:rFonts w:hint="default" w:ascii="Times New Roman" w:hAnsi="Times New Roman" w:eastAsia="宋体" w:cs="Times New Roman"/>
                <w:color w:val="auto"/>
                <w:lang w:val="en-US" w:eastAsia="zh-CN"/>
              </w:rPr>
              <w:t>以上学历</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同时</w:t>
            </w:r>
            <w:r>
              <w:rPr>
                <w:rFonts w:hint="eastAsia" w:ascii="Times New Roman" w:hAnsi="Times New Roman" w:eastAsia="宋体" w:cs="Times New Roman"/>
                <w:color w:val="auto"/>
                <w:lang w:val="en-US" w:eastAsia="zh-CN"/>
              </w:rPr>
              <w:t>具有国家级</w:t>
            </w:r>
            <w:r>
              <w:rPr>
                <w:rFonts w:hint="eastAsia" w:ascii="Times New Roman" w:hAnsi="Times New Roman" w:cs="Times New Roman"/>
                <w:color w:val="auto"/>
                <w:lang w:val="en-US" w:eastAsia="zh-CN"/>
              </w:rPr>
              <w:t>环境空气类自动监测</w:t>
            </w:r>
            <w:r>
              <w:rPr>
                <w:rFonts w:hint="eastAsia" w:ascii="Times New Roman" w:hAnsi="Times New Roman" w:eastAsia="宋体" w:cs="Times New Roman"/>
                <w:color w:val="auto"/>
                <w:lang w:val="en-US" w:eastAsia="zh-CN"/>
              </w:rPr>
              <w:t>运维培训证书</w:t>
            </w:r>
            <w:r>
              <w:rPr>
                <w:rFonts w:hint="eastAsia" w:ascii="Times New Roman" w:hAnsi="Times New Roman" w:cs="Times New Roman"/>
                <w:color w:val="auto"/>
                <w:lang w:val="en-US" w:eastAsia="zh-CN"/>
              </w:rPr>
              <w:t>、高级工程师</w:t>
            </w:r>
            <w:r>
              <w:rPr>
                <w:rFonts w:hint="eastAsia" w:ascii="Times New Roman" w:hAnsi="Times New Roman" w:eastAsia="宋体" w:cs="Times New Roman"/>
                <w:color w:val="auto"/>
                <w:lang w:val="en-US" w:eastAsia="zh-CN"/>
              </w:rPr>
              <w:t>，具有环境空气</w:t>
            </w:r>
            <w:r>
              <w:rPr>
                <w:rFonts w:hint="eastAsia" w:ascii="Times New Roman" w:hAnsi="Times New Roman" w:cs="Times New Roman"/>
                <w:color w:val="auto"/>
                <w:lang w:val="en-US" w:eastAsia="zh-CN"/>
              </w:rPr>
              <w:t>类</w:t>
            </w:r>
            <w:r>
              <w:rPr>
                <w:rFonts w:hint="eastAsia" w:ascii="Times New Roman" w:hAnsi="Times New Roman" w:eastAsia="宋体" w:cs="Times New Roman"/>
                <w:color w:val="auto"/>
                <w:lang w:val="en-US" w:eastAsia="zh-CN"/>
              </w:rPr>
              <w:t>自动监测运维经验</w:t>
            </w:r>
            <w:r>
              <w:rPr>
                <w:rFonts w:hint="eastAsia" w:ascii="Times New Roman" w:hAnsi="Times New Roman" w:cs="Times New Roman"/>
                <w:color w:val="auto"/>
                <w:lang w:val="en-US" w:eastAsia="zh-CN"/>
              </w:rPr>
              <w:t>1</w:t>
            </w:r>
            <w:r>
              <w:rPr>
                <w:rFonts w:hint="eastAsia" w:ascii="Times New Roman" w:hAnsi="Times New Roman" w:eastAsia="宋体" w:cs="Times New Roman"/>
                <w:color w:val="auto"/>
                <w:lang w:val="en-US" w:eastAsia="zh-CN"/>
              </w:rPr>
              <w:t>年</w:t>
            </w:r>
            <w:r>
              <w:rPr>
                <w:rFonts w:hint="eastAsia" w:ascii="Times New Roman" w:hAnsi="Times New Roman" w:cs="Times New Roman"/>
                <w:color w:val="auto"/>
                <w:lang w:val="en-US" w:eastAsia="zh-CN"/>
              </w:rPr>
              <w:t>及</w:t>
            </w:r>
            <w:r>
              <w:rPr>
                <w:rFonts w:hint="eastAsia" w:ascii="Times New Roman" w:hAnsi="Times New Roman" w:eastAsia="宋体" w:cs="Times New Roman"/>
                <w:color w:val="auto"/>
                <w:lang w:val="en-US" w:eastAsia="zh-CN"/>
              </w:rPr>
              <w:t>以上，且运维效果良好以上，没有不良记录的。</w:t>
            </w:r>
          </w:p>
          <w:p w14:paraId="5EB5E196">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w:t>
            </w:r>
            <w:r>
              <w:rPr>
                <w:rFonts w:hint="default" w:ascii="Times New Roman" w:hAnsi="Times New Roman" w:eastAsia="宋体" w:cs="Times New Roman"/>
                <w:color w:val="auto"/>
                <w:lang w:val="en-US" w:eastAsia="zh-CN"/>
              </w:rPr>
              <w:t>档（</w:t>
            </w:r>
            <w:r>
              <w:rPr>
                <w:rFonts w:hint="eastAsia" w:ascii="Times New Roman" w:hAnsi="Times New Roman" w:cs="Times New Roman"/>
                <w:color w:val="auto"/>
                <w:lang w:val="en-US" w:eastAsia="zh-CN"/>
              </w:rPr>
              <w:t>11</w:t>
            </w:r>
            <w:r>
              <w:rPr>
                <w:rFonts w:hint="default" w:ascii="Times New Roman" w:hAnsi="Times New Roman" w:eastAsia="宋体" w:cs="Times New Roman"/>
                <w:color w:val="auto"/>
                <w:lang w:val="en-US" w:eastAsia="zh-CN"/>
              </w:rPr>
              <w:t>分）：拟投入人员有</w:t>
            </w:r>
            <w:r>
              <w:rPr>
                <w:rFonts w:hint="eastAsia" w:ascii="Times New Roman" w:hAnsi="Times New Roman" w:eastAsia="宋体" w:cs="Times New Roman"/>
                <w:color w:val="auto"/>
                <w:lang w:val="en-US" w:eastAsia="zh-CN"/>
              </w:rPr>
              <w:t>大专</w:t>
            </w:r>
            <w:r>
              <w:rPr>
                <w:rFonts w:hint="default" w:ascii="Times New Roman" w:hAnsi="Times New Roman" w:eastAsia="宋体" w:cs="Times New Roman"/>
                <w:color w:val="auto"/>
                <w:lang w:val="en-US" w:eastAsia="zh-CN"/>
              </w:rPr>
              <w:t>以上学历</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同时</w:t>
            </w:r>
            <w:r>
              <w:rPr>
                <w:rFonts w:hint="eastAsia" w:ascii="Times New Roman" w:hAnsi="Times New Roman" w:eastAsia="宋体" w:cs="Times New Roman"/>
                <w:color w:val="auto"/>
                <w:lang w:val="en-US" w:eastAsia="zh-CN"/>
              </w:rPr>
              <w:t>具有省级</w:t>
            </w:r>
            <w:r>
              <w:rPr>
                <w:rFonts w:hint="eastAsia" w:ascii="Times New Roman" w:hAnsi="Times New Roman" w:cs="Times New Roman"/>
                <w:color w:val="auto"/>
                <w:lang w:val="en-US" w:eastAsia="zh-CN"/>
              </w:rPr>
              <w:t>环境空气类自动监测</w:t>
            </w:r>
            <w:r>
              <w:rPr>
                <w:rFonts w:hint="eastAsia" w:ascii="Times New Roman" w:hAnsi="Times New Roman" w:eastAsia="宋体" w:cs="Times New Roman"/>
                <w:color w:val="auto"/>
                <w:lang w:val="en-US" w:eastAsia="zh-CN"/>
              </w:rPr>
              <w:t>运维培训证书</w:t>
            </w:r>
            <w:r>
              <w:rPr>
                <w:rFonts w:hint="eastAsia" w:ascii="Times New Roman" w:hAnsi="Times New Roman" w:cs="Times New Roman"/>
                <w:color w:val="auto"/>
                <w:lang w:val="en-US" w:eastAsia="zh-CN"/>
              </w:rPr>
              <w:t>、工程师</w:t>
            </w:r>
            <w:r>
              <w:rPr>
                <w:rFonts w:hint="eastAsia" w:ascii="Times New Roman" w:hAnsi="Times New Roman" w:eastAsia="宋体" w:cs="Times New Roman"/>
                <w:color w:val="auto"/>
                <w:lang w:val="en-US" w:eastAsia="zh-CN"/>
              </w:rPr>
              <w:t>，具有环境空气</w:t>
            </w:r>
            <w:r>
              <w:rPr>
                <w:rFonts w:hint="eastAsia" w:ascii="Times New Roman" w:hAnsi="Times New Roman" w:cs="Times New Roman"/>
                <w:color w:val="auto"/>
                <w:lang w:val="en-US" w:eastAsia="zh-CN"/>
              </w:rPr>
              <w:t>类</w:t>
            </w:r>
            <w:r>
              <w:rPr>
                <w:rFonts w:hint="eastAsia" w:ascii="Times New Roman" w:hAnsi="Times New Roman" w:eastAsia="宋体" w:cs="Times New Roman"/>
                <w:color w:val="auto"/>
                <w:lang w:val="en-US" w:eastAsia="zh-CN"/>
              </w:rPr>
              <w:t>自动监测运维经验</w:t>
            </w:r>
            <w:r>
              <w:rPr>
                <w:rFonts w:hint="eastAsia" w:ascii="Times New Roman" w:hAnsi="Times New Roman" w:cs="Times New Roman"/>
                <w:color w:val="auto"/>
                <w:lang w:val="en-US" w:eastAsia="zh-CN"/>
              </w:rPr>
              <w:t>1</w:t>
            </w:r>
            <w:r>
              <w:rPr>
                <w:rFonts w:hint="eastAsia" w:ascii="Times New Roman" w:hAnsi="Times New Roman" w:eastAsia="宋体" w:cs="Times New Roman"/>
                <w:color w:val="auto"/>
                <w:lang w:val="en-US" w:eastAsia="zh-CN"/>
              </w:rPr>
              <w:t>年</w:t>
            </w:r>
            <w:r>
              <w:rPr>
                <w:rFonts w:hint="eastAsia" w:ascii="Times New Roman" w:hAnsi="Times New Roman" w:cs="Times New Roman"/>
                <w:color w:val="auto"/>
                <w:lang w:val="en-US" w:eastAsia="zh-CN"/>
              </w:rPr>
              <w:t>及</w:t>
            </w:r>
            <w:r>
              <w:rPr>
                <w:rFonts w:hint="eastAsia" w:ascii="Times New Roman" w:hAnsi="Times New Roman" w:eastAsia="宋体" w:cs="Times New Roman"/>
                <w:color w:val="auto"/>
                <w:lang w:val="en-US" w:eastAsia="zh-CN"/>
              </w:rPr>
              <w:t>以上</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运维效果良好以上，没有不良记录的。</w:t>
            </w:r>
          </w:p>
          <w:p w14:paraId="1AC4A92B">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三</w:t>
            </w:r>
            <w:r>
              <w:rPr>
                <w:rFonts w:hint="default" w:ascii="Times New Roman" w:hAnsi="Times New Roman" w:eastAsia="宋体" w:cs="Times New Roman"/>
                <w:color w:val="auto"/>
                <w:lang w:val="en-US" w:eastAsia="zh-CN"/>
              </w:rPr>
              <w:t>档（</w:t>
            </w:r>
            <w:r>
              <w:rPr>
                <w:rFonts w:hint="eastAsia" w:ascii="Times New Roman" w:hAnsi="Times New Roman" w:cs="Times New Roman"/>
                <w:color w:val="auto"/>
                <w:lang w:val="en-US" w:eastAsia="zh-CN"/>
              </w:rPr>
              <w:t>8</w:t>
            </w:r>
            <w:r>
              <w:rPr>
                <w:rFonts w:hint="default" w:ascii="Times New Roman" w:hAnsi="Times New Roman" w:eastAsia="宋体" w:cs="Times New Roman"/>
                <w:color w:val="auto"/>
                <w:lang w:val="en-US" w:eastAsia="zh-CN"/>
              </w:rPr>
              <w:t>分）：拟投入人员有</w:t>
            </w:r>
            <w:r>
              <w:rPr>
                <w:rFonts w:hint="eastAsia" w:ascii="Times New Roman" w:hAnsi="Times New Roman" w:eastAsia="宋体" w:cs="Times New Roman"/>
                <w:color w:val="auto"/>
                <w:lang w:val="en-US" w:eastAsia="zh-CN"/>
              </w:rPr>
              <w:t>中专</w:t>
            </w:r>
            <w:r>
              <w:rPr>
                <w:rFonts w:hint="default" w:ascii="Times New Roman" w:hAnsi="Times New Roman" w:eastAsia="宋体" w:cs="Times New Roman"/>
                <w:color w:val="auto"/>
                <w:lang w:val="en-US" w:eastAsia="zh-CN"/>
              </w:rPr>
              <w:t>以上学历</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同时具有环境空气类自动监测</w:t>
            </w:r>
            <w:r>
              <w:rPr>
                <w:rFonts w:hint="eastAsia" w:ascii="Times New Roman" w:hAnsi="Times New Roman" w:eastAsia="宋体" w:cs="Times New Roman"/>
                <w:color w:val="auto"/>
                <w:lang w:val="en-US" w:eastAsia="zh-CN"/>
              </w:rPr>
              <w:t>运维培训证书</w:t>
            </w:r>
            <w:r>
              <w:rPr>
                <w:rFonts w:hint="eastAsia" w:ascii="Times New Roman" w:hAnsi="Times New Roman" w:cs="Times New Roman"/>
                <w:color w:val="auto"/>
                <w:lang w:val="en-US" w:eastAsia="zh-CN"/>
              </w:rPr>
              <w:t>、助理工程师</w:t>
            </w:r>
            <w:r>
              <w:rPr>
                <w:rFonts w:hint="eastAsia" w:ascii="Times New Roman" w:hAnsi="Times New Roman" w:eastAsia="宋体" w:cs="Times New Roman"/>
                <w:color w:val="auto"/>
                <w:lang w:val="en-US" w:eastAsia="zh-CN"/>
              </w:rPr>
              <w:t>，具有环境空气</w:t>
            </w:r>
            <w:r>
              <w:rPr>
                <w:rFonts w:hint="eastAsia" w:ascii="Times New Roman" w:hAnsi="Times New Roman" w:cs="Times New Roman"/>
                <w:color w:val="auto"/>
                <w:lang w:val="en-US" w:eastAsia="zh-CN"/>
              </w:rPr>
              <w:t>类</w:t>
            </w:r>
            <w:r>
              <w:rPr>
                <w:rFonts w:hint="eastAsia" w:ascii="Times New Roman" w:hAnsi="Times New Roman" w:eastAsia="宋体" w:cs="Times New Roman"/>
                <w:color w:val="auto"/>
                <w:lang w:val="en-US" w:eastAsia="zh-CN"/>
              </w:rPr>
              <w:t>自动监测运维经验1年</w:t>
            </w:r>
            <w:r>
              <w:rPr>
                <w:rFonts w:hint="eastAsia" w:ascii="Times New Roman" w:hAnsi="Times New Roman" w:cs="Times New Roman"/>
                <w:color w:val="auto"/>
                <w:lang w:val="en-US" w:eastAsia="zh-CN"/>
              </w:rPr>
              <w:t>及</w:t>
            </w:r>
            <w:r>
              <w:rPr>
                <w:rFonts w:hint="eastAsia" w:ascii="Times New Roman" w:hAnsi="Times New Roman" w:eastAsia="宋体" w:cs="Times New Roman"/>
                <w:color w:val="auto"/>
                <w:lang w:val="en-US" w:eastAsia="zh-CN"/>
              </w:rPr>
              <w:t>以上，运维效果良好以上，没有不良记录的。</w:t>
            </w:r>
          </w:p>
          <w:p w14:paraId="580347DD">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四档</w:t>
            </w:r>
            <w:r>
              <w:rPr>
                <w:rFonts w:hint="default"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lang w:val="en-US" w:eastAsia="zh-CN"/>
              </w:rPr>
              <w:t>分）：拟投入人员有</w:t>
            </w:r>
            <w:r>
              <w:rPr>
                <w:rFonts w:hint="eastAsia" w:ascii="Times New Roman" w:hAnsi="Times New Roman" w:cs="Times New Roman"/>
                <w:color w:val="auto"/>
                <w:lang w:val="en-US" w:eastAsia="zh-CN"/>
              </w:rPr>
              <w:t>初中及</w:t>
            </w:r>
            <w:r>
              <w:rPr>
                <w:rFonts w:hint="default" w:ascii="Times New Roman" w:hAnsi="Times New Roman" w:eastAsia="宋体" w:cs="Times New Roman"/>
                <w:color w:val="auto"/>
                <w:lang w:val="en-US" w:eastAsia="zh-CN"/>
              </w:rPr>
              <w:t>以上学历</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具有环境空气类自动监测</w:t>
            </w:r>
            <w:r>
              <w:rPr>
                <w:rFonts w:hint="eastAsia" w:ascii="Times New Roman" w:hAnsi="Times New Roman" w:eastAsia="宋体" w:cs="Times New Roman"/>
                <w:color w:val="auto"/>
                <w:lang w:val="en-US" w:eastAsia="zh-CN"/>
              </w:rPr>
              <w:t>运维培训证书，环境空气</w:t>
            </w:r>
            <w:r>
              <w:rPr>
                <w:rFonts w:hint="eastAsia" w:ascii="Times New Roman" w:hAnsi="Times New Roman" w:cs="Times New Roman"/>
                <w:color w:val="auto"/>
                <w:lang w:val="en-US" w:eastAsia="zh-CN"/>
              </w:rPr>
              <w:t>类</w:t>
            </w:r>
            <w:r>
              <w:rPr>
                <w:rFonts w:hint="eastAsia" w:ascii="Times New Roman" w:hAnsi="Times New Roman" w:eastAsia="宋体" w:cs="Times New Roman"/>
                <w:color w:val="auto"/>
                <w:lang w:val="en-US" w:eastAsia="zh-CN"/>
              </w:rPr>
              <w:t>自动监测运维经验1年</w:t>
            </w:r>
            <w:r>
              <w:rPr>
                <w:rFonts w:hint="eastAsia" w:ascii="Times New Roman" w:hAnsi="Times New Roman" w:cs="Times New Roman"/>
                <w:color w:val="auto"/>
                <w:lang w:val="en-US" w:eastAsia="zh-CN"/>
              </w:rPr>
              <w:t>及</w:t>
            </w:r>
            <w:r>
              <w:rPr>
                <w:rFonts w:hint="eastAsia" w:ascii="Times New Roman" w:hAnsi="Times New Roman" w:eastAsia="宋体" w:cs="Times New Roman"/>
                <w:color w:val="auto"/>
                <w:lang w:val="en-US" w:eastAsia="zh-CN"/>
              </w:rPr>
              <w:t>以</w:t>
            </w:r>
            <w:r>
              <w:rPr>
                <w:rFonts w:hint="eastAsia" w:ascii="Times New Roman" w:hAnsi="Times New Roman" w:cs="Times New Roman"/>
                <w:color w:val="auto"/>
                <w:lang w:val="en-US" w:eastAsia="zh-CN"/>
              </w:rPr>
              <w:t>下。</w:t>
            </w:r>
            <w:r>
              <w:rPr>
                <w:rFonts w:hint="default" w:ascii="Times New Roman" w:hAnsi="Times New Roman" w:eastAsia="宋体" w:cs="Times New Roman"/>
                <w:color w:val="auto"/>
                <w:lang w:val="en-US" w:eastAsia="zh-CN"/>
              </w:rPr>
              <w:t xml:space="preserve"> </w:t>
            </w:r>
          </w:p>
          <w:p w14:paraId="2C279A38">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没有的得0分。</w:t>
            </w:r>
            <w:r>
              <w:rPr>
                <w:rFonts w:hint="default" w:ascii="Times New Roman" w:hAnsi="Times New Roman" w:eastAsia="宋体" w:cs="Times New Roman"/>
                <w:color w:val="auto"/>
                <w:lang w:val="en-US" w:eastAsia="zh-CN"/>
              </w:rPr>
              <w:t xml:space="preserve">                  </w:t>
            </w:r>
          </w:p>
          <w:p w14:paraId="6AA40B30">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eastAsia="宋体" w:cs="Times New Roman"/>
                <w:color w:val="auto"/>
                <w:szCs w:val="21"/>
                <w:lang w:eastAsia="zh-CN"/>
              </w:rPr>
            </w:pPr>
            <w:r>
              <w:rPr>
                <w:rFonts w:hint="eastAsia" w:ascii="Times New Roman" w:hAnsi="Times New Roman" w:cs="Times New Roman"/>
                <w:color w:val="auto"/>
                <w:lang w:val="en-US" w:eastAsia="zh-CN"/>
              </w:rPr>
              <w:t>学历证书、培训证书、运维经历证明和运维效果等</w:t>
            </w:r>
            <w:r>
              <w:rPr>
                <w:rFonts w:hint="default" w:ascii="Times New Roman" w:hAnsi="Times New Roman" w:eastAsia="宋体" w:cs="Times New Roman"/>
                <w:color w:val="auto"/>
                <w:lang w:val="en-US" w:eastAsia="zh-CN"/>
              </w:rPr>
              <w:t>证明材料</w:t>
            </w:r>
            <w:r>
              <w:rPr>
                <w:rFonts w:hint="eastAsia" w:ascii="Times New Roman" w:hAnsi="Times New Roman" w:cs="Times New Roman"/>
                <w:color w:val="auto"/>
                <w:lang w:val="en-US" w:eastAsia="zh-CN"/>
              </w:rPr>
              <w:t>需加盖公司公章，</w:t>
            </w:r>
            <w:r>
              <w:rPr>
                <w:rFonts w:hint="eastAsia" w:ascii="Times New Roman" w:hAnsi="Times New Roman" w:cs="Times New Roman"/>
                <w:color w:val="auto"/>
                <w:kern w:val="2"/>
                <w:sz w:val="21"/>
                <w:szCs w:val="20"/>
                <w:lang w:val="en-US" w:eastAsia="zh-CN" w:bidi="ar-SA"/>
              </w:rPr>
              <w:t>没有加盖公章或没有提供证明材料的视同没有。</w:t>
            </w:r>
            <w:r>
              <w:rPr>
                <w:rFonts w:hint="default" w:ascii="Times New Roman" w:hAnsi="Times New Roman" w:eastAsia="宋体" w:cs="Times New Roman"/>
                <w:color w:val="auto"/>
                <w:lang w:val="en-US" w:eastAsia="zh-CN"/>
              </w:rPr>
              <w:t xml:space="preserve">  </w:t>
            </w:r>
            <w:r>
              <w:rPr>
                <w:rFonts w:hint="default" w:ascii="Times New Roman" w:hAnsi="Times New Roman" w:cs="Times New Roman"/>
                <w:color w:val="auto"/>
                <w:szCs w:val="21"/>
                <w:lang w:val="en-US" w:eastAsia="zh-CN"/>
              </w:rPr>
              <w:t xml:space="preserve">                                                              </w:t>
            </w:r>
          </w:p>
        </w:tc>
      </w:tr>
      <w:tr w14:paraId="09E45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7" w:hRule="atLeast"/>
          <w:jc w:val="center"/>
        </w:trPr>
        <w:tc>
          <w:tcPr>
            <w:tcW w:w="677" w:type="dxa"/>
            <w:tcBorders>
              <w:top w:val="single" w:color="auto" w:sz="4" w:space="0"/>
              <w:left w:val="single" w:color="auto" w:sz="4" w:space="0"/>
              <w:right w:val="single" w:color="auto" w:sz="4" w:space="0"/>
            </w:tcBorders>
            <w:vAlign w:val="center"/>
          </w:tcPr>
          <w:p w14:paraId="129921E8">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2</w:t>
            </w:r>
          </w:p>
        </w:tc>
        <w:tc>
          <w:tcPr>
            <w:tcW w:w="1187" w:type="dxa"/>
            <w:tcBorders>
              <w:top w:val="single" w:color="auto" w:sz="4" w:space="0"/>
              <w:left w:val="single" w:color="auto" w:sz="4" w:space="0"/>
              <w:right w:val="single" w:color="auto" w:sz="4" w:space="0"/>
            </w:tcBorders>
            <w:vAlign w:val="center"/>
          </w:tcPr>
          <w:p w14:paraId="285EAE15">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车辆场所配置</w:t>
            </w:r>
            <w:r>
              <w:rPr>
                <w:rFonts w:hint="eastAsia" w:ascii="宋体" w:hAnsi="宋体" w:cs="宋体"/>
                <w:color w:val="auto"/>
                <w:szCs w:val="21"/>
              </w:rPr>
              <w:t>（满分</w:t>
            </w:r>
            <w:r>
              <w:rPr>
                <w:rFonts w:hint="eastAsia" w:ascii="宋体" w:hAnsi="宋体" w:cs="宋体"/>
                <w:color w:val="auto"/>
                <w:szCs w:val="21"/>
                <w:lang w:val="en-US" w:eastAsia="zh-CN"/>
              </w:rPr>
              <w:t>6</w:t>
            </w:r>
            <w:r>
              <w:rPr>
                <w:rFonts w:hint="eastAsia" w:ascii="宋体" w:hAnsi="宋体" w:cs="宋体"/>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65028F05">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40" w:firstLineChars="200"/>
              <w:textAlignment w:val="auto"/>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一档（</w:t>
            </w:r>
            <w:r>
              <w:rPr>
                <w:rFonts w:hint="eastAsia" w:ascii="宋体" w:hAnsi="宋体" w:cs="Times New Roman"/>
                <w:color w:val="auto"/>
                <w:szCs w:val="21"/>
                <w:lang w:val="en-US" w:eastAsia="zh-CN"/>
              </w:rPr>
              <w:t>6</w:t>
            </w:r>
            <w:r>
              <w:rPr>
                <w:rFonts w:hint="eastAsia" w:ascii="宋体" w:hAnsi="宋体" w:eastAsia="宋体" w:cs="Times New Roman"/>
                <w:color w:val="auto"/>
                <w:szCs w:val="21"/>
                <w:lang w:val="en-US" w:eastAsia="zh-CN"/>
              </w:rPr>
              <w:t>分）：本项目配备有专用</w:t>
            </w:r>
            <w:r>
              <w:rPr>
                <w:rFonts w:hint="eastAsia" w:ascii="宋体" w:hAnsi="宋体" w:cs="Times New Roman"/>
                <w:color w:val="auto"/>
                <w:szCs w:val="21"/>
                <w:lang w:val="en-US" w:eastAsia="zh-CN"/>
              </w:rPr>
              <w:t>运维</w:t>
            </w:r>
            <w:r>
              <w:rPr>
                <w:rFonts w:hint="eastAsia" w:ascii="宋体" w:hAnsi="宋体" w:eastAsia="宋体" w:cs="Times New Roman"/>
                <w:color w:val="auto"/>
                <w:szCs w:val="21"/>
                <w:lang w:val="en-US" w:eastAsia="zh-CN"/>
              </w:rPr>
              <w:t>车辆</w:t>
            </w:r>
            <w:r>
              <w:rPr>
                <w:rFonts w:hint="eastAsia" w:ascii="宋体" w:hAnsi="宋体" w:cs="Times New Roman"/>
                <w:color w:val="auto"/>
                <w:szCs w:val="21"/>
                <w:lang w:val="en-US" w:eastAsia="zh-CN"/>
              </w:rPr>
              <w:t>，</w:t>
            </w:r>
            <w:r>
              <w:rPr>
                <w:rFonts w:hint="eastAsia" w:ascii="宋体" w:hAnsi="宋体" w:eastAsia="宋体" w:cs="Times New Roman"/>
                <w:color w:val="auto"/>
                <w:szCs w:val="21"/>
                <w:lang w:val="en-US" w:eastAsia="zh-CN"/>
              </w:rPr>
              <w:t>办事处设在北海市</w:t>
            </w:r>
            <w:r>
              <w:rPr>
                <w:rFonts w:hint="eastAsia" w:cs="Times New Roman"/>
                <w:color w:val="auto"/>
                <w:szCs w:val="21"/>
                <w:lang w:val="en-US" w:eastAsia="zh-CN"/>
              </w:rPr>
              <w:t>海</w:t>
            </w:r>
            <w:r>
              <w:rPr>
                <w:rFonts w:hint="eastAsia" w:ascii="宋体" w:hAnsi="宋体" w:eastAsia="宋体" w:cs="Times New Roman"/>
                <w:color w:val="auto"/>
                <w:szCs w:val="21"/>
                <w:lang w:val="en-US" w:eastAsia="zh-CN"/>
              </w:rPr>
              <w:t>城区</w:t>
            </w:r>
            <w:r>
              <w:rPr>
                <w:rFonts w:hint="eastAsia" w:ascii="宋体" w:hAnsi="宋体" w:cs="Times New Roman"/>
                <w:color w:val="auto"/>
                <w:szCs w:val="21"/>
                <w:lang w:val="en-US" w:eastAsia="zh-CN"/>
              </w:rPr>
              <w:t>或银海区</w:t>
            </w:r>
            <w:r>
              <w:rPr>
                <w:rFonts w:hint="eastAsia" w:ascii="宋体" w:hAnsi="宋体" w:eastAsia="宋体" w:cs="Times New Roman"/>
                <w:color w:val="auto"/>
                <w:szCs w:val="21"/>
                <w:lang w:val="en-US" w:eastAsia="zh-CN"/>
              </w:rPr>
              <w:t>的。</w:t>
            </w:r>
          </w:p>
          <w:p w14:paraId="5D200A05">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40" w:firstLineChars="200"/>
              <w:textAlignment w:val="auto"/>
              <w:rPr>
                <w:rFonts w:hint="eastAsia" w:ascii="宋体" w:hAnsi="宋体" w:eastAsia="宋体" w:cs="Times New Roman"/>
                <w:color w:val="auto"/>
                <w:szCs w:val="21"/>
                <w:lang w:val="en-US" w:eastAsia="zh-CN"/>
              </w:rPr>
            </w:pPr>
            <w:r>
              <w:rPr>
                <w:rFonts w:hint="eastAsia" w:ascii="宋体" w:hAnsi="宋体" w:cs="Times New Roman"/>
                <w:color w:val="auto"/>
                <w:szCs w:val="21"/>
                <w:lang w:val="en-US" w:eastAsia="zh-CN"/>
              </w:rPr>
              <w:t>二</w:t>
            </w:r>
            <w:r>
              <w:rPr>
                <w:rFonts w:hint="eastAsia" w:ascii="宋体" w:hAnsi="宋体" w:eastAsia="宋体" w:cs="Times New Roman"/>
                <w:color w:val="auto"/>
                <w:szCs w:val="21"/>
                <w:lang w:val="en-US" w:eastAsia="zh-CN"/>
              </w:rPr>
              <w:t>档（</w:t>
            </w:r>
            <w:r>
              <w:rPr>
                <w:rFonts w:hint="eastAsia" w:ascii="宋体" w:hAnsi="宋体" w:cs="Times New Roman"/>
                <w:color w:val="auto"/>
                <w:szCs w:val="21"/>
                <w:lang w:val="en-US" w:eastAsia="zh-CN"/>
              </w:rPr>
              <w:t>4</w:t>
            </w:r>
            <w:r>
              <w:rPr>
                <w:rFonts w:hint="eastAsia" w:ascii="宋体" w:hAnsi="宋体" w:eastAsia="宋体" w:cs="Times New Roman"/>
                <w:color w:val="auto"/>
                <w:szCs w:val="21"/>
                <w:lang w:val="en-US" w:eastAsia="zh-CN"/>
              </w:rPr>
              <w:t>分）：本项目配备有非专用</w:t>
            </w:r>
            <w:r>
              <w:rPr>
                <w:rFonts w:hint="eastAsia" w:ascii="宋体" w:hAnsi="宋体" w:cs="Times New Roman"/>
                <w:color w:val="auto"/>
                <w:szCs w:val="21"/>
                <w:lang w:val="en-US" w:eastAsia="zh-CN"/>
              </w:rPr>
              <w:t>运维</w:t>
            </w:r>
            <w:r>
              <w:rPr>
                <w:rFonts w:hint="eastAsia" w:ascii="宋体" w:hAnsi="宋体" w:eastAsia="宋体" w:cs="Times New Roman"/>
                <w:color w:val="auto"/>
                <w:szCs w:val="21"/>
                <w:lang w:val="en-US" w:eastAsia="zh-CN"/>
              </w:rPr>
              <w:t>车辆</w:t>
            </w:r>
            <w:r>
              <w:rPr>
                <w:rFonts w:hint="eastAsia" w:cs="Times New Roman"/>
                <w:color w:val="auto"/>
                <w:szCs w:val="21"/>
                <w:lang w:val="en-US" w:eastAsia="zh-CN"/>
              </w:rPr>
              <w:t>，</w:t>
            </w:r>
            <w:r>
              <w:rPr>
                <w:rFonts w:hint="eastAsia" w:ascii="宋体" w:hAnsi="宋体" w:eastAsia="宋体" w:cs="Times New Roman"/>
                <w:color w:val="auto"/>
                <w:szCs w:val="21"/>
                <w:lang w:val="en-US" w:eastAsia="zh-CN"/>
              </w:rPr>
              <w:t>办事处设在北海市</w:t>
            </w:r>
            <w:r>
              <w:rPr>
                <w:rFonts w:hint="eastAsia" w:cs="Times New Roman"/>
                <w:color w:val="auto"/>
                <w:szCs w:val="21"/>
                <w:lang w:val="en-US" w:eastAsia="zh-CN"/>
              </w:rPr>
              <w:t>海</w:t>
            </w:r>
            <w:r>
              <w:rPr>
                <w:rFonts w:hint="eastAsia" w:ascii="宋体" w:hAnsi="宋体" w:eastAsia="宋体" w:cs="Times New Roman"/>
                <w:color w:val="auto"/>
                <w:szCs w:val="21"/>
                <w:lang w:val="en-US" w:eastAsia="zh-CN"/>
              </w:rPr>
              <w:t>城区</w:t>
            </w:r>
            <w:r>
              <w:rPr>
                <w:rFonts w:hint="eastAsia" w:ascii="宋体" w:hAnsi="宋体" w:cs="Times New Roman"/>
                <w:color w:val="auto"/>
                <w:szCs w:val="21"/>
                <w:lang w:val="en-US" w:eastAsia="zh-CN"/>
              </w:rPr>
              <w:t>或银海区</w:t>
            </w:r>
            <w:r>
              <w:rPr>
                <w:rFonts w:hint="eastAsia" w:ascii="宋体" w:hAnsi="宋体" w:eastAsia="宋体" w:cs="Times New Roman"/>
                <w:color w:val="auto"/>
                <w:szCs w:val="21"/>
                <w:lang w:val="en-US" w:eastAsia="zh-CN"/>
              </w:rPr>
              <w:t>的。</w:t>
            </w:r>
          </w:p>
          <w:p w14:paraId="7AFC51F3">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40" w:firstLineChars="200"/>
              <w:textAlignment w:val="auto"/>
              <w:rPr>
                <w:rFonts w:hint="default" w:ascii="宋体" w:hAnsi="宋体" w:eastAsia="宋体" w:cs="Times New Roman"/>
                <w:color w:val="auto"/>
                <w:szCs w:val="21"/>
                <w:lang w:val="en-US" w:eastAsia="zh-CN"/>
              </w:rPr>
            </w:pPr>
            <w:r>
              <w:rPr>
                <w:rFonts w:hint="eastAsia" w:ascii="宋体" w:hAnsi="宋体" w:cs="Times New Roman"/>
                <w:color w:val="auto"/>
                <w:szCs w:val="21"/>
                <w:lang w:val="en-US" w:eastAsia="zh-CN"/>
              </w:rPr>
              <w:t>三</w:t>
            </w:r>
            <w:r>
              <w:rPr>
                <w:rFonts w:hint="eastAsia" w:ascii="宋体" w:hAnsi="宋体" w:eastAsia="宋体" w:cs="Times New Roman"/>
                <w:color w:val="auto"/>
                <w:szCs w:val="21"/>
                <w:lang w:val="en-US" w:eastAsia="zh-CN"/>
              </w:rPr>
              <w:t>档（</w:t>
            </w:r>
            <w:r>
              <w:rPr>
                <w:rFonts w:hint="eastAsia" w:ascii="宋体" w:hAnsi="宋体" w:cs="Times New Roman"/>
                <w:color w:val="auto"/>
                <w:szCs w:val="21"/>
                <w:lang w:val="en-US" w:eastAsia="zh-CN"/>
              </w:rPr>
              <w:t>2</w:t>
            </w:r>
            <w:r>
              <w:rPr>
                <w:rFonts w:hint="eastAsia" w:ascii="宋体" w:hAnsi="宋体" w:eastAsia="宋体" w:cs="Times New Roman"/>
                <w:color w:val="auto"/>
                <w:szCs w:val="21"/>
                <w:lang w:val="en-US" w:eastAsia="zh-CN"/>
              </w:rPr>
              <w:t>分）：本项目没有配备有</w:t>
            </w:r>
            <w:r>
              <w:rPr>
                <w:rFonts w:hint="eastAsia" w:ascii="宋体" w:hAnsi="宋体" w:cs="Times New Roman"/>
                <w:color w:val="auto"/>
                <w:szCs w:val="21"/>
                <w:lang w:val="en-US" w:eastAsia="zh-CN"/>
              </w:rPr>
              <w:t>运维</w:t>
            </w:r>
            <w:r>
              <w:rPr>
                <w:rFonts w:hint="eastAsia" w:ascii="宋体" w:hAnsi="宋体" w:eastAsia="宋体" w:cs="Times New Roman"/>
                <w:color w:val="auto"/>
                <w:szCs w:val="21"/>
                <w:lang w:val="en-US" w:eastAsia="zh-CN"/>
              </w:rPr>
              <w:t>车辆或办事处不在北海市的。</w:t>
            </w:r>
          </w:p>
          <w:p w14:paraId="3F63FEA6">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40" w:firstLineChars="200"/>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车辆提供购买发票或长期租赁合同及车辆行驶证复印件，车辆仅为本项目服务的承诺书，办事处提供产权证明或租赁合同，证明材料复印件上加盖运维机构公章，缺一或不提供不得分。</w:t>
            </w:r>
          </w:p>
        </w:tc>
      </w:tr>
      <w:tr w14:paraId="04900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677" w:type="dxa"/>
            <w:tcBorders>
              <w:top w:val="single" w:color="auto" w:sz="4" w:space="0"/>
              <w:left w:val="single" w:color="auto" w:sz="4" w:space="0"/>
              <w:right w:val="single" w:color="auto" w:sz="4" w:space="0"/>
            </w:tcBorders>
            <w:vAlign w:val="center"/>
          </w:tcPr>
          <w:p w14:paraId="6E03BD11">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3</w:t>
            </w:r>
          </w:p>
        </w:tc>
        <w:tc>
          <w:tcPr>
            <w:tcW w:w="1187" w:type="dxa"/>
            <w:tcBorders>
              <w:top w:val="single" w:color="auto" w:sz="4" w:space="0"/>
              <w:left w:val="single" w:color="auto" w:sz="4" w:space="0"/>
              <w:right w:val="single" w:color="auto" w:sz="4" w:space="0"/>
            </w:tcBorders>
            <w:vAlign w:val="center"/>
          </w:tcPr>
          <w:p w14:paraId="00C97435">
            <w:pPr>
              <w:spacing w:before="0" w:beforeAutospacing="0" w:after="0" w:afterAutospacing="0"/>
              <w:ind w:left="0" w:right="0" w:firstLine="8" w:firstLineChars="4"/>
              <w:rPr>
                <w:rFonts w:hint="default" w:ascii="宋体" w:hAnsi="宋体" w:eastAsia="宋体" w:cs="Times New Roman"/>
                <w:b/>
                <w:color w:val="auto"/>
                <w:kern w:val="2"/>
                <w:sz w:val="21"/>
                <w:szCs w:val="20"/>
                <w:lang w:val="en-US" w:eastAsia="zh-CN" w:bidi="ar-SA"/>
              </w:rPr>
            </w:pPr>
            <w:r>
              <w:rPr>
                <w:rFonts w:hint="eastAsia" w:ascii="Times New Roman" w:hAnsi="Times New Roman" w:cs="Times New Roman"/>
                <w:color w:val="auto"/>
                <w:szCs w:val="21"/>
                <w:lang w:val="en-US" w:eastAsia="zh-CN"/>
              </w:rPr>
              <w:t>配件耗材</w:t>
            </w:r>
            <w:r>
              <w:rPr>
                <w:rFonts w:hint="eastAsia" w:ascii="宋体" w:hAnsi="宋体"/>
                <w:b w:val="0"/>
                <w:bCs w:val="0"/>
                <w:color w:val="auto"/>
                <w:kern w:val="0"/>
                <w:szCs w:val="21"/>
              </w:rPr>
              <w:t>备机</w:t>
            </w:r>
            <w:r>
              <w:rPr>
                <w:rFonts w:hint="eastAsia" w:ascii="宋体" w:hAnsi="宋体" w:cs="宋体"/>
                <w:color w:val="auto"/>
                <w:szCs w:val="21"/>
              </w:rPr>
              <w:t>（满分</w:t>
            </w:r>
            <w:r>
              <w:rPr>
                <w:rFonts w:hint="eastAsia" w:ascii="宋体" w:hAnsi="宋体" w:cs="宋体"/>
                <w:color w:val="auto"/>
                <w:szCs w:val="21"/>
                <w:lang w:val="en-US" w:eastAsia="zh-CN"/>
              </w:rPr>
              <w:t>12</w:t>
            </w:r>
            <w:r>
              <w:rPr>
                <w:rFonts w:hint="eastAsia" w:ascii="宋体" w:hAnsi="宋体" w:cs="宋体"/>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703E5440">
            <w:pPr>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40" w:firstLineChars="200"/>
              <w:jc w:val="both"/>
              <w:textAlignment w:val="auto"/>
              <w:rPr>
                <w:rFonts w:hint="eastAsia" w:ascii="Calibri" w:hAnsi="Calibri" w:eastAsia="宋体"/>
                <w:color w:val="auto"/>
                <w:szCs w:val="20"/>
                <w:lang w:eastAsia="zh-CN"/>
              </w:rPr>
            </w:pPr>
            <w:r>
              <w:rPr>
                <w:rFonts w:hint="eastAsia" w:ascii="Calibri" w:hAnsi="Calibri"/>
                <w:color w:val="auto"/>
                <w:szCs w:val="20"/>
                <w:lang w:val="en-US" w:eastAsia="zh-CN"/>
              </w:rPr>
              <w:t>一档（12</w:t>
            </w:r>
            <w:r>
              <w:rPr>
                <w:rFonts w:hint="eastAsia" w:ascii="Calibri" w:hAnsi="Calibri"/>
                <w:color w:val="auto"/>
                <w:szCs w:val="20"/>
              </w:rPr>
              <w:t>分</w:t>
            </w:r>
            <w:r>
              <w:rPr>
                <w:rFonts w:hint="eastAsia" w:ascii="Calibri" w:hAnsi="Calibri"/>
                <w:color w:val="auto"/>
                <w:szCs w:val="20"/>
                <w:lang w:val="en-US" w:eastAsia="zh-CN"/>
              </w:rPr>
              <w:t>）：</w:t>
            </w:r>
            <w:r>
              <w:rPr>
                <w:rFonts w:hint="eastAsia" w:ascii="Calibri" w:hAnsi="Calibri" w:eastAsia="宋体" w:cs="Times New Roman"/>
                <w:b w:val="0"/>
                <w:bCs w:val="0"/>
                <w:color w:val="auto"/>
                <w:sz w:val="21"/>
                <w:szCs w:val="20"/>
                <w:lang w:val="en-US" w:eastAsia="zh-CN"/>
              </w:rPr>
              <w:t>具备完善的设备配件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耗材供应渠道</w:t>
            </w:r>
            <w:r>
              <w:rPr>
                <w:rFonts w:hint="eastAsia" w:ascii="Calibri" w:hAnsi="Calibri" w:cs="Times New Roman"/>
                <w:b w:val="0"/>
                <w:bCs w:val="0"/>
                <w:color w:val="auto"/>
                <w:sz w:val="21"/>
                <w:szCs w:val="20"/>
                <w:lang w:val="en-US" w:eastAsia="zh-CN"/>
              </w:rPr>
              <w:t>，配备</w:t>
            </w:r>
            <w:r>
              <w:rPr>
                <w:rFonts w:hint="eastAsia" w:ascii="Calibri" w:hAnsi="Calibri" w:eastAsia="宋体" w:cs="Times New Roman"/>
                <w:color w:val="auto"/>
                <w:sz w:val="21"/>
                <w:szCs w:val="20"/>
              </w:rPr>
              <w:t>使用</w:t>
            </w:r>
            <w:r>
              <w:rPr>
                <w:rFonts w:hint="eastAsia" w:ascii="Calibri" w:hAnsi="Calibri" w:cs="Times New Roman"/>
                <w:color w:val="auto"/>
                <w:sz w:val="21"/>
                <w:szCs w:val="20"/>
                <w:lang w:val="en-US" w:eastAsia="zh-CN"/>
              </w:rPr>
              <w:t>同品牌同质量</w:t>
            </w:r>
            <w:r>
              <w:rPr>
                <w:rFonts w:hint="eastAsia" w:ascii="Calibri" w:hAnsi="Calibri" w:eastAsia="宋体" w:cs="Times New Roman"/>
                <w:b w:val="0"/>
                <w:bCs w:val="0"/>
                <w:color w:val="auto"/>
                <w:sz w:val="21"/>
                <w:szCs w:val="20"/>
                <w:lang w:val="en-US" w:eastAsia="zh-CN"/>
              </w:rPr>
              <w:t>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w:t>
            </w:r>
            <w:r>
              <w:rPr>
                <w:rFonts w:hint="eastAsia" w:ascii="Calibri" w:hAnsi="Calibri" w:cs="Times New Roman"/>
                <w:color w:val="auto"/>
                <w:sz w:val="21"/>
                <w:szCs w:val="20"/>
                <w:lang w:eastAsia="zh-CN"/>
              </w:rPr>
              <w:t>，</w:t>
            </w:r>
            <w:r>
              <w:rPr>
                <w:rFonts w:hint="eastAsia" w:ascii="Calibri" w:hAnsi="Calibri"/>
                <w:color w:val="auto"/>
                <w:szCs w:val="20"/>
              </w:rPr>
              <w:t>有与</w:t>
            </w:r>
            <w:r>
              <w:rPr>
                <w:rFonts w:hint="eastAsia" w:ascii="Calibri" w:hAnsi="Calibri"/>
                <w:color w:val="auto"/>
                <w:szCs w:val="20"/>
                <w:lang w:val="en-US" w:eastAsia="zh-CN"/>
              </w:rPr>
              <w:t>站点</w:t>
            </w:r>
            <w:r>
              <w:rPr>
                <w:rFonts w:hint="eastAsia" w:ascii="Calibri" w:hAnsi="Calibri"/>
                <w:color w:val="auto"/>
                <w:szCs w:val="20"/>
              </w:rPr>
              <w:t>配置的设备同</w:t>
            </w:r>
            <w:r>
              <w:rPr>
                <w:rFonts w:hint="eastAsia" w:ascii="Calibri" w:hAnsi="Calibri"/>
                <w:color w:val="auto"/>
                <w:szCs w:val="20"/>
                <w:lang w:val="en-US" w:eastAsia="zh-CN"/>
              </w:rPr>
              <w:t>品牌</w:t>
            </w:r>
            <w:r>
              <w:rPr>
                <w:rFonts w:hint="eastAsia" w:ascii="Calibri" w:hAnsi="Calibri"/>
                <w:color w:val="auto"/>
                <w:szCs w:val="20"/>
              </w:rPr>
              <w:t>的备机</w:t>
            </w:r>
            <w:r>
              <w:rPr>
                <w:rFonts w:hint="eastAsia" w:ascii="Calibri" w:hAnsi="Calibri"/>
                <w:color w:val="auto"/>
                <w:szCs w:val="20"/>
                <w:lang w:eastAsia="zh-CN"/>
              </w:rPr>
              <w:t>。</w:t>
            </w:r>
          </w:p>
          <w:p w14:paraId="1C57E99B">
            <w:pPr>
              <w:pStyle w:val="11"/>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Calibri" w:hAnsi="Calibri"/>
                <w:color w:val="auto"/>
                <w:szCs w:val="20"/>
                <w:lang w:eastAsia="zh-CN"/>
              </w:rPr>
            </w:pPr>
            <w:r>
              <w:rPr>
                <w:rFonts w:hint="eastAsia" w:ascii="Calibri" w:hAnsi="Calibri" w:cs="Times New Roman"/>
                <w:color w:val="auto"/>
                <w:lang w:val="en-US" w:eastAsia="zh-CN"/>
              </w:rPr>
              <w:t>二</w:t>
            </w:r>
            <w:r>
              <w:rPr>
                <w:rFonts w:hint="eastAsia" w:ascii="Calibri" w:hAnsi="Calibri" w:cs="Times New Roman"/>
                <w:color w:val="auto"/>
              </w:rPr>
              <w:t>档（</w:t>
            </w:r>
            <w:r>
              <w:rPr>
                <w:rFonts w:hint="eastAsia" w:ascii="Calibri" w:hAnsi="Calibri" w:cs="Times New Roman"/>
                <w:color w:val="auto"/>
                <w:lang w:val="en-US" w:eastAsia="zh-CN"/>
              </w:rPr>
              <w:t>7</w:t>
            </w:r>
            <w:r>
              <w:rPr>
                <w:rFonts w:hint="eastAsia" w:ascii="Calibri" w:hAnsi="Calibri" w:cs="Times New Roman"/>
                <w:color w:val="auto"/>
              </w:rPr>
              <w:t>分）：</w:t>
            </w:r>
            <w:r>
              <w:rPr>
                <w:rFonts w:hint="eastAsia" w:ascii="Calibri" w:hAnsi="Calibri" w:eastAsia="宋体" w:cs="Times New Roman"/>
                <w:b w:val="0"/>
                <w:bCs w:val="0"/>
                <w:color w:val="auto"/>
                <w:sz w:val="21"/>
                <w:szCs w:val="20"/>
                <w:lang w:val="en-US" w:eastAsia="zh-CN"/>
              </w:rPr>
              <w:t>具备完善的设备配件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耗材供应渠道</w:t>
            </w:r>
            <w:r>
              <w:rPr>
                <w:rFonts w:hint="eastAsia" w:ascii="Calibri" w:hAnsi="Calibri" w:cs="Times New Roman"/>
                <w:b w:val="0"/>
                <w:bCs w:val="0"/>
                <w:color w:val="auto"/>
                <w:sz w:val="21"/>
                <w:szCs w:val="20"/>
                <w:lang w:val="en-US" w:eastAsia="zh-CN"/>
              </w:rPr>
              <w:t>，配备</w:t>
            </w:r>
            <w:r>
              <w:rPr>
                <w:rFonts w:hint="eastAsia" w:ascii="Calibri" w:hAnsi="Calibri" w:eastAsia="宋体" w:cs="Times New Roman"/>
                <w:color w:val="auto"/>
                <w:sz w:val="21"/>
                <w:szCs w:val="20"/>
              </w:rPr>
              <w:t>使用经有资质的第三方机构检定合格</w:t>
            </w:r>
            <w:r>
              <w:rPr>
                <w:rFonts w:hint="eastAsia" w:ascii="Calibri" w:hAnsi="Calibri" w:cs="Times New Roman"/>
                <w:color w:val="auto"/>
                <w:sz w:val="21"/>
                <w:szCs w:val="20"/>
                <w:lang w:val="en-US" w:eastAsia="zh-CN"/>
              </w:rPr>
              <w:t>的</w:t>
            </w:r>
            <w:r>
              <w:rPr>
                <w:rFonts w:hint="eastAsia" w:ascii="Calibri" w:hAnsi="Calibri" w:cs="Times New Roman"/>
                <w:color w:val="auto"/>
                <w:lang w:val="en-US" w:eastAsia="zh-CN"/>
              </w:rPr>
              <w:t>匹配的</w:t>
            </w:r>
            <w:r>
              <w:rPr>
                <w:rFonts w:hint="eastAsia" w:ascii="Calibri" w:hAnsi="Calibri" w:eastAsia="宋体" w:cs="Times New Roman"/>
                <w:b w:val="0"/>
                <w:bCs w:val="0"/>
                <w:color w:val="auto"/>
                <w:sz w:val="21"/>
                <w:szCs w:val="20"/>
                <w:lang w:val="en-US" w:eastAsia="zh-CN"/>
              </w:rPr>
              <w:t>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w:t>
            </w:r>
            <w:r>
              <w:rPr>
                <w:rFonts w:hint="eastAsia" w:ascii="Calibri" w:hAnsi="Calibri" w:cs="Times New Roman"/>
                <w:color w:val="auto"/>
                <w:sz w:val="21"/>
                <w:szCs w:val="20"/>
                <w:lang w:eastAsia="zh-CN"/>
              </w:rPr>
              <w:t>，</w:t>
            </w:r>
            <w:r>
              <w:rPr>
                <w:rFonts w:hint="eastAsia" w:ascii="Calibri" w:hAnsi="Calibri"/>
                <w:color w:val="auto"/>
                <w:szCs w:val="20"/>
              </w:rPr>
              <w:t>有能够替代（匹配）备机</w:t>
            </w:r>
            <w:r>
              <w:rPr>
                <w:rFonts w:hint="eastAsia" w:ascii="Calibri" w:hAnsi="Calibri"/>
                <w:color w:val="auto"/>
                <w:szCs w:val="20"/>
                <w:lang w:eastAsia="zh-CN"/>
              </w:rPr>
              <w:t>。</w:t>
            </w:r>
          </w:p>
          <w:p w14:paraId="1DFA2016">
            <w:pPr>
              <w:spacing w:before="0" w:beforeAutospacing="0" w:after="0" w:afterAutospacing="0"/>
              <w:ind w:left="0" w:right="0" w:firstLine="420"/>
              <w:rPr>
                <w:rFonts w:hint="eastAsia" w:ascii="Calibri" w:hAnsi="Calibri"/>
                <w:color w:val="auto"/>
                <w:szCs w:val="20"/>
                <w:lang w:val="en-US" w:eastAsia="zh-CN"/>
              </w:rPr>
            </w:pPr>
            <w:r>
              <w:rPr>
                <w:rFonts w:hint="eastAsia" w:ascii="Calibri" w:hAnsi="Calibri" w:cs="Times New Roman"/>
                <w:color w:val="auto"/>
                <w:lang w:val="en-US" w:eastAsia="zh-CN"/>
              </w:rPr>
              <w:t>三</w:t>
            </w:r>
            <w:r>
              <w:rPr>
                <w:rFonts w:hint="eastAsia" w:ascii="Calibri" w:hAnsi="Calibri" w:cs="Times New Roman"/>
                <w:color w:val="auto"/>
              </w:rPr>
              <w:t>档（</w:t>
            </w:r>
            <w:r>
              <w:rPr>
                <w:rFonts w:hint="eastAsia" w:ascii="Calibri" w:hAnsi="Calibri" w:cs="Times New Roman"/>
                <w:color w:val="auto"/>
                <w:lang w:val="en-US" w:eastAsia="zh-CN"/>
              </w:rPr>
              <w:t>3</w:t>
            </w:r>
            <w:r>
              <w:rPr>
                <w:rFonts w:hint="eastAsia" w:ascii="Calibri" w:hAnsi="Calibri" w:cs="Times New Roman"/>
                <w:color w:val="auto"/>
              </w:rPr>
              <w:t>分）：</w:t>
            </w:r>
            <w:r>
              <w:rPr>
                <w:rFonts w:hint="eastAsia" w:ascii="Calibri" w:hAnsi="Calibri" w:eastAsia="宋体" w:cs="Times New Roman"/>
                <w:b w:val="0"/>
                <w:bCs w:val="0"/>
                <w:color w:val="auto"/>
                <w:sz w:val="21"/>
                <w:szCs w:val="20"/>
                <w:lang w:val="en-US" w:eastAsia="zh-CN"/>
              </w:rPr>
              <w:t>具备设备配件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耗材供应渠道</w:t>
            </w:r>
            <w:r>
              <w:rPr>
                <w:rFonts w:hint="eastAsia" w:ascii="Calibri" w:hAnsi="Calibri" w:cs="Times New Roman"/>
                <w:b w:val="0"/>
                <w:bCs w:val="0"/>
                <w:color w:val="auto"/>
                <w:sz w:val="21"/>
                <w:szCs w:val="20"/>
                <w:lang w:val="en-US" w:eastAsia="zh-CN"/>
              </w:rPr>
              <w:t>，配备</w:t>
            </w:r>
            <w:r>
              <w:rPr>
                <w:rFonts w:hint="eastAsia" w:ascii="Calibri" w:hAnsi="Calibri" w:eastAsia="宋体" w:cs="Times New Roman"/>
                <w:color w:val="auto"/>
                <w:sz w:val="21"/>
                <w:szCs w:val="20"/>
              </w:rPr>
              <w:t>使用经有资质的第三方机构检定合格</w:t>
            </w:r>
            <w:r>
              <w:rPr>
                <w:rFonts w:hint="eastAsia" w:ascii="Calibri" w:hAnsi="Calibri" w:cs="Times New Roman"/>
                <w:color w:val="auto"/>
                <w:sz w:val="21"/>
                <w:szCs w:val="20"/>
                <w:lang w:val="en-US" w:eastAsia="zh-CN"/>
              </w:rPr>
              <w:t>的</w:t>
            </w:r>
            <w:r>
              <w:rPr>
                <w:rFonts w:hint="eastAsia" w:ascii="Calibri" w:hAnsi="Calibri" w:cs="Times New Roman"/>
                <w:color w:val="auto"/>
                <w:lang w:val="en-US" w:eastAsia="zh-CN"/>
              </w:rPr>
              <w:t>匹配的</w:t>
            </w:r>
            <w:r>
              <w:rPr>
                <w:rFonts w:hint="eastAsia" w:ascii="Calibri" w:hAnsi="Calibri" w:eastAsia="宋体" w:cs="Times New Roman"/>
                <w:b w:val="0"/>
                <w:bCs w:val="0"/>
                <w:color w:val="auto"/>
                <w:sz w:val="21"/>
                <w:szCs w:val="20"/>
                <w:lang w:val="en-US" w:eastAsia="zh-CN"/>
              </w:rPr>
              <w:t>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w:t>
            </w:r>
            <w:r>
              <w:rPr>
                <w:rFonts w:hint="eastAsia" w:ascii="Calibri" w:hAnsi="Calibri" w:cs="Times New Roman"/>
                <w:color w:val="auto"/>
                <w:sz w:val="21"/>
                <w:szCs w:val="20"/>
                <w:lang w:eastAsia="zh-CN"/>
              </w:rPr>
              <w:t>，</w:t>
            </w:r>
            <w:r>
              <w:rPr>
                <w:rFonts w:hint="eastAsia" w:ascii="Calibri" w:hAnsi="Calibri" w:cs="Times New Roman"/>
                <w:color w:val="auto"/>
                <w:sz w:val="21"/>
                <w:szCs w:val="20"/>
                <w:lang w:val="en-US" w:eastAsia="zh-CN"/>
              </w:rPr>
              <w:t>或者</w:t>
            </w:r>
            <w:r>
              <w:rPr>
                <w:rFonts w:hint="eastAsia" w:ascii="Calibri" w:hAnsi="Calibri" w:cs="Times New Roman"/>
                <w:color w:val="auto"/>
                <w:lang w:val="en-US" w:eastAsia="zh-CN"/>
              </w:rPr>
              <w:t>备机不匹配或</w:t>
            </w:r>
            <w:r>
              <w:rPr>
                <w:rFonts w:hint="eastAsia" w:ascii="Calibri" w:hAnsi="Calibri"/>
                <w:color w:val="auto"/>
                <w:szCs w:val="20"/>
                <w:lang w:val="en-US" w:eastAsia="zh-CN"/>
              </w:rPr>
              <w:t>没有备机的。</w:t>
            </w:r>
          </w:p>
          <w:p w14:paraId="52B5480D">
            <w:pPr>
              <w:autoSpaceDE/>
              <w:autoSpaceDN/>
              <w:adjustRightInd w:val="0"/>
              <w:snapToGrid w:val="0"/>
              <w:spacing w:before="0" w:beforeAutospacing="0" w:after="0" w:afterAutospacing="0" w:line="320" w:lineRule="exact"/>
              <w:ind w:left="0" w:right="0" w:firstLine="420" w:firstLineChars="200"/>
              <w:jc w:val="both"/>
              <w:rPr>
                <w:rFonts w:hint="eastAsia" w:ascii="Calibri" w:hAnsi="Calibri" w:cs="Times New Roman"/>
                <w:color w:val="auto"/>
                <w:sz w:val="21"/>
                <w:szCs w:val="20"/>
                <w:lang w:val="en-US" w:eastAsia="zh-CN"/>
              </w:rPr>
            </w:pPr>
            <w:r>
              <w:rPr>
                <w:rFonts w:hint="eastAsia" w:ascii="Calibri" w:hAnsi="Calibri" w:cs="Times New Roman"/>
                <w:color w:val="auto"/>
                <w:sz w:val="21"/>
                <w:szCs w:val="20"/>
                <w:lang w:val="en-US" w:eastAsia="zh-CN"/>
              </w:rPr>
              <w:t>没有的得0分。</w:t>
            </w:r>
          </w:p>
          <w:p w14:paraId="4D190B2A">
            <w:pPr>
              <w:autoSpaceDE/>
              <w:autoSpaceDN/>
              <w:adjustRightInd w:val="0"/>
              <w:snapToGrid w:val="0"/>
              <w:spacing w:before="0" w:beforeAutospacing="0" w:after="0" w:afterAutospacing="0" w:line="320" w:lineRule="exact"/>
              <w:ind w:left="0" w:right="0" w:firstLine="420" w:firstLineChars="200"/>
              <w:jc w:val="both"/>
              <w:rPr>
                <w:rFonts w:hint="eastAsia"/>
                <w:color w:val="auto"/>
                <w:lang w:val="en-US" w:eastAsia="zh-CN"/>
              </w:rPr>
            </w:pPr>
            <w:r>
              <w:rPr>
                <w:rFonts w:hint="eastAsia" w:ascii="Calibri" w:hAnsi="Calibri" w:cs="Times New Roman"/>
                <w:color w:val="auto"/>
                <w:sz w:val="21"/>
                <w:szCs w:val="20"/>
                <w:lang w:val="en-US" w:eastAsia="zh-CN"/>
              </w:rPr>
              <w:t>需提供有近两年内所运维的环境空气自动监测站所采购的2-3份</w:t>
            </w:r>
            <w:r>
              <w:rPr>
                <w:rFonts w:hint="eastAsia" w:ascii="Calibri" w:hAnsi="Calibri" w:cs="Times New Roman"/>
                <w:b w:val="0"/>
                <w:bCs w:val="0"/>
                <w:color w:val="auto"/>
                <w:sz w:val="21"/>
                <w:szCs w:val="20"/>
                <w:lang w:val="en-US" w:eastAsia="zh-CN"/>
              </w:rPr>
              <w:t>具有代表的</w:t>
            </w:r>
            <w:r>
              <w:rPr>
                <w:rFonts w:hint="eastAsia" w:ascii="Calibri" w:hAnsi="Calibri" w:eastAsia="宋体" w:cs="Times New Roman"/>
                <w:b w:val="0"/>
                <w:bCs w:val="0"/>
                <w:color w:val="auto"/>
                <w:sz w:val="21"/>
                <w:szCs w:val="20"/>
                <w:lang w:val="en-US" w:eastAsia="zh-CN"/>
              </w:rPr>
              <w:t>设备配件</w:t>
            </w:r>
            <w:r>
              <w:rPr>
                <w:rFonts w:hint="eastAsia" w:ascii="Calibri" w:hAnsi="Calibri" w:cs="Times New Roman"/>
                <w:b w:val="0"/>
                <w:bCs w:val="0"/>
                <w:color w:val="auto"/>
                <w:sz w:val="21"/>
                <w:szCs w:val="20"/>
                <w:lang w:val="en-US" w:eastAsia="zh-CN"/>
              </w:rPr>
              <w:t>、</w:t>
            </w:r>
            <w:r>
              <w:rPr>
                <w:rFonts w:hint="eastAsia" w:ascii="Calibri" w:hAnsi="Calibri" w:eastAsia="宋体" w:cs="Times New Roman"/>
                <w:b w:val="0"/>
                <w:bCs w:val="0"/>
                <w:color w:val="auto"/>
                <w:sz w:val="21"/>
                <w:szCs w:val="20"/>
                <w:lang w:val="en-US" w:eastAsia="zh-CN"/>
              </w:rPr>
              <w:t>耗材</w:t>
            </w:r>
            <w:r>
              <w:rPr>
                <w:rFonts w:hint="eastAsia" w:ascii="Calibri" w:hAnsi="Calibri" w:cs="Times New Roman"/>
                <w:b w:val="0"/>
                <w:bCs w:val="0"/>
                <w:color w:val="auto"/>
                <w:sz w:val="21"/>
                <w:szCs w:val="20"/>
                <w:lang w:val="en-US" w:eastAsia="zh-CN"/>
              </w:rPr>
              <w:t>销售或采购合同和</w:t>
            </w:r>
            <w:r>
              <w:rPr>
                <w:rFonts w:hint="eastAsia" w:ascii="Calibri" w:hAnsi="Calibri" w:cs="Times New Roman"/>
                <w:color w:val="auto"/>
                <w:sz w:val="21"/>
                <w:szCs w:val="20"/>
                <w:lang w:val="en-US" w:eastAsia="zh-CN"/>
              </w:rPr>
              <w:t>2-3份</w:t>
            </w:r>
            <w:r>
              <w:rPr>
                <w:rFonts w:hint="eastAsia" w:ascii="Calibri" w:hAnsi="Calibri" w:cs="Times New Roman"/>
                <w:b w:val="0"/>
                <w:bCs w:val="0"/>
                <w:color w:val="auto"/>
                <w:sz w:val="21"/>
                <w:szCs w:val="20"/>
                <w:lang w:val="en-US" w:eastAsia="zh-CN"/>
              </w:rPr>
              <w:t>具有代表的所使用产品质量证书以及其他可证明的材料复印件，证明材料需加盖公司公章，</w:t>
            </w:r>
            <w:r>
              <w:rPr>
                <w:rFonts w:hint="eastAsia" w:ascii="Calibri" w:hAnsi="Calibri" w:cs="Times New Roman"/>
                <w:color w:val="auto"/>
                <w:kern w:val="0"/>
                <w:sz w:val="21"/>
                <w:szCs w:val="20"/>
                <w:lang w:val="en-US" w:eastAsia="zh-CN" w:bidi="ar-SA"/>
              </w:rPr>
              <w:t>没有加盖公章或没有提供证明材料的视同没有。</w:t>
            </w:r>
          </w:p>
        </w:tc>
      </w:tr>
      <w:tr w14:paraId="05536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3BDA1D8C">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187" w:type="dxa"/>
            <w:tcBorders>
              <w:top w:val="single" w:color="auto" w:sz="4" w:space="0"/>
              <w:left w:val="single" w:color="auto" w:sz="4" w:space="0"/>
              <w:bottom w:val="single" w:color="auto" w:sz="4" w:space="0"/>
              <w:right w:val="single" w:color="auto" w:sz="4" w:space="0"/>
            </w:tcBorders>
            <w:vAlign w:val="center"/>
          </w:tcPr>
          <w:p w14:paraId="394964F5">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管理制度</w:t>
            </w:r>
            <w:r>
              <w:rPr>
                <w:rFonts w:hint="default" w:ascii="Times New Roman" w:hAnsi="Times New Roman" w:cs="Times New Roman"/>
                <w:color w:val="auto"/>
                <w:szCs w:val="21"/>
              </w:rPr>
              <w:t>（满分</w:t>
            </w:r>
            <w:r>
              <w:rPr>
                <w:rFonts w:hint="eastAsia" w:ascii="Times New Roman" w:hAnsi="Times New Roman" w:cs="Times New Roman"/>
                <w:color w:val="auto"/>
                <w:szCs w:val="21"/>
                <w:lang w:val="en-US" w:eastAsia="zh-CN"/>
              </w:rPr>
              <w:t>12</w:t>
            </w:r>
            <w:r>
              <w:rPr>
                <w:rFonts w:hint="default" w:ascii="Times New Roman" w:hAnsi="Times New Roman" w:cs="Times New Roman"/>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center"/>
          </w:tcPr>
          <w:p w14:paraId="41A9CC06">
            <w:pPr>
              <w:autoSpaceDE/>
              <w:autoSpaceDN/>
              <w:snapToGrid w:val="0"/>
              <w:spacing w:before="0" w:beforeAutospacing="0" w:after="0" w:afterAutospacing="0" w:line="340" w:lineRule="exact"/>
              <w:ind w:left="0" w:right="0" w:firstLine="440" w:firstLineChars="200"/>
              <w:jc w:val="left"/>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Cs w:val="20"/>
                <w:lang w:val="en-US" w:eastAsia="zh-CN"/>
              </w:rPr>
              <w:t>管理制度</w:t>
            </w:r>
            <w:r>
              <w:rPr>
                <w:rFonts w:hint="default" w:ascii="Times New Roman" w:hAnsi="Times New Roman" w:eastAsia="宋体" w:cs="Times New Roman"/>
                <w:color w:val="auto"/>
                <w:sz w:val="21"/>
                <w:szCs w:val="20"/>
                <w:lang w:val="en-US" w:eastAsia="zh-CN"/>
              </w:rPr>
              <w:t>包括</w:t>
            </w:r>
            <w:r>
              <w:rPr>
                <w:rFonts w:hint="default" w:ascii="Times New Roman" w:hAnsi="Times New Roman" w:eastAsia="宋体" w:cs="Times New Roman"/>
                <w:color w:val="auto"/>
                <w:szCs w:val="20"/>
                <w:lang w:val="en-US" w:eastAsia="zh-CN"/>
              </w:rPr>
              <w:t>项目组织实施方案、项目</w:t>
            </w:r>
            <w:r>
              <w:rPr>
                <w:rFonts w:hint="default" w:ascii="Times New Roman" w:hAnsi="Times New Roman" w:eastAsia="宋体" w:cs="Times New Roman"/>
                <w:color w:val="auto"/>
                <w:sz w:val="21"/>
                <w:szCs w:val="20"/>
                <w:lang w:val="en-US" w:eastAsia="zh-CN"/>
              </w:rPr>
              <w:t>运维措施、</w:t>
            </w:r>
            <w:r>
              <w:rPr>
                <w:rFonts w:hint="default" w:ascii="Times New Roman" w:hAnsi="Times New Roman" w:eastAsia="宋体" w:cs="Times New Roman"/>
                <w:color w:val="auto"/>
                <w:szCs w:val="20"/>
                <w:lang w:val="en-US" w:eastAsia="zh-CN"/>
              </w:rPr>
              <w:t>项目</w:t>
            </w:r>
            <w:r>
              <w:rPr>
                <w:rFonts w:hint="default" w:ascii="Times New Roman" w:hAnsi="Times New Roman" w:eastAsia="宋体" w:cs="Times New Roman"/>
                <w:color w:val="auto"/>
                <w:sz w:val="21"/>
                <w:szCs w:val="20"/>
                <w:lang w:val="en-US" w:eastAsia="zh-CN"/>
              </w:rPr>
              <w:t>应急方案、</w:t>
            </w:r>
            <w:r>
              <w:rPr>
                <w:rFonts w:hint="eastAsia" w:ascii="Times New Roman" w:hAnsi="Times New Roman" w:eastAsia="宋体" w:cs="Times New Roman"/>
                <w:color w:val="auto"/>
                <w:sz w:val="21"/>
                <w:szCs w:val="20"/>
                <w:lang w:val="en-US" w:eastAsia="zh-CN"/>
              </w:rPr>
              <w:t>公司日常管理</w:t>
            </w:r>
            <w:r>
              <w:rPr>
                <w:rFonts w:hint="default" w:ascii="Times New Roman" w:hAnsi="Times New Roman" w:eastAsia="宋体" w:cs="Times New Roman"/>
                <w:color w:val="auto"/>
                <w:sz w:val="21"/>
                <w:szCs w:val="20"/>
                <w:lang w:val="en-US" w:eastAsia="zh-CN"/>
              </w:rPr>
              <w:t>规章制度等方面内容。</w:t>
            </w:r>
          </w:p>
          <w:p w14:paraId="0E0886C1">
            <w:pPr>
              <w:autoSpaceDE/>
              <w:autoSpaceDN/>
              <w:snapToGrid w:val="0"/>
              <w:spacing w:before="0" w:beforeAutospacing="0" w:after="0" w:afterAutospacing="0" w:line="340" w:lineRule="exact"/>
              <w:ind w:left="0" w:right="0" w:firstLine="420" w:firstLineChars="200"/>
              <w:jc w:val="left"/>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lang w:val="en-US" w:eastAsia="zh-CN"/>
              </w:rPr>
              <w:t>一</w:t>
            </w:r>
            <w:r>
              <w:rPr>
                <w:rFonts w:hint="default" w:ascii="Times New Roman" w:hAnsi="Times New Roman" w:eastAsia="宋体" w:cs="Times New Roman"/>
                <w:color w:val="auto"/>
                <w:sz w:val="21"/>
                <w:szCs w:val="20"/>
              </w:rPr>
              <w:t>档（</w:t>
            </w:r>
            <w:r>
              <w:rPr>
                <w:rFonts w:hint="eastAsia" w:ascii="Times New Roman" w:hAnsi="Times New Roman" w:cs="Times New Roman"/>
                <w:color w:val="auto"/>
                <w:sz w:val="21"/>
                <w:szCs w:val="20"/>
                <w:lang w:val="en-US" w:eastAsia="zh-CN"/>
              </w:rPr>
              <w:t>12</w:t>
            </w:r>
            <w:r>
              <w:rPr>
                <w:rFonts w:hint="default" w:ascii="Times New Roman" w:hAnsi="Times New Roman" w:eastAsia="宋体" w:cs="Times New Roman"/>
                <w:color w:val="auto"/>
                <w:sz w:val="21"/>
                <w:szCs w:val="20"/>
              </w:rPr>
              <w:t>分）：</w:t>
            </w:r>
            <w:r>
              <w:rPr>
                <w:rFonts w:hint="default" w:ascii="Times New Roman" w:hAnsi="Times New Roman" w:eastAsia="宋体" w:cs="Times New Roman"/>
                <w:color w:val="auto"/>
                <w:szCs w:val="20"/>
              </w:rPr>
              <w:t>公司规章制度完善</w:t>
            </w:r>
            <w:r>
              <w:rPr>
                <w:rFonts w:hint="eastAsia" w:ascii="Times New Roman" w:hAnsi="Times New Roman" w:eastAsia="宋体" w:cs="Times New Roman"/>
                <w:color w:val="auto"/>
                <w:szCs w:val="20"/>
                <w:lang w:val="en-US" w:eastAsia="zh-CN"/>
              </w:rPr>
              <w:t>齐全</w:t>
            </w:r>
            <w:r>
              <w:rPr>
                <w:rFonts w:hint="default" w:ascii="Times New Roman" w:hAnsi="Times New Roman" w:eastAsia="宋体" w:cs="Times New Roman"/>
                <w:color w:val="auto"/>
                <w:szCs w:val="20"/>
                <w:lang w:eastAsia="zh-CN"/>
              </w:rPr>
              <w:t>，</w:t>
            </w:r>
            <w:r>
              <w:rPr>
                <w:rFonts w:hint="eastAsia" w:ascii="Times New Roman" w:hAnsi="Times New Roman" w:eastAsia="宋体" w:cs="Times New Roman"/>
                <w:color w:val="auto"/>
                <w:szCs w:val="20"/>
                <w:lang w:val="en-US" w:eastAsia="zh-CN"/>
              </w:rPr>
              <w:t>具</w:t>
            </w:r>
            <w:r>
              <w:rPr>
                <w:rFonts w:hint="default" w:ascii="Times New Roman" w:hAnsi="Times New Roman" w:eastAsia="宋体" w:cs="Times New Roman"/>
                <w:color w:val="auto"/>
                <w:szCs w:val="20"/>
              </w:rPr>
              <w:t>有相应的</w:t>
            </w:r>
            <w:r>
              <w:rPr>
                <w:rFonts w:hint="default" w:ascii="Times New Roman" w:hAnsi="Times New Roman" w:eastAsia="宋体" w:cs="Times New Roman"/>
                <w:color w:val="auto"/>
                <w:szCs w:val="20"/>
                <w:lang w:val="en-US" w:eastAsia="zh-CN"/>
              </w:rPr>
              <w:t>项目组织实施方案、项目</w:t>
            </w:r>
            <w:r>
              <w:rPr>
                <w:rFonts w:hint="default" w:ascii="Times New Roman" w:hAnsi="Times New Roman" w:eastAsia="宋体" w:cs="Times New Roman"/>
                <w:color w:val="auto"/>
                <w:sz w:val="21"/>
                <w:szCs w:val="20"/>
                <w:lang w:val="en-US" w:eastAsia="zh-CN"/>
              </w:rPr>
              <w:t>运维措施、</w:t>
            </w:r>
            <w:r>
              <w:rPr>
                <w:rFonts w:hint="default" w:ascii="Times New Roman" w:hAnsi="Times New Roman" w:eastAsia="宋体" w:cs="Times New Roman"/>
                <w:color w:val="auto"/>
                <w:szCs w:val="20"/>
                <w:lang w:val="en-US" w:eastAsia="zh-CN"/>
              </w:rPr>
              <w:t>项目</w:t>
            </w:r>
            <w:r>
              <w:rPr>
                <w:rFonts w:hint="default" w:ascii="Times New Roman" w:hAnsi="Times New Roman" w:eastAsia="宋体" w:cs="Times New Roman"/>
                <w:color w:val="auto"/>
                <w:sz w:val="21"/>
                <w:szCs w:val="20"/>
                <w:lang w:val="en-US" w:eastAsia="zh-CN"/>
              </w:rPr>
              <w:t>应急方案、</w:t>
            </w:r>
            <w:r>
              <w:rPr>
                <w:rFonts w:hint="eastAsia" w:ascii="Times New Roman" w:hAnsi="Times New Roman" w:eastAsia="宋体" w:cs="Times New Roman"/>
                <w:color w:val="auto"/>
                <w:sz w:val="21"/>
                <w:szCs w:val="20"/>
                <w:lang w:val="en-US" w:eastAsia="zh-CN"/>
              </w:rPr>
              <w:t>日常管理</w:t>
            </w:r>
            <w:r>
              <w:rPr>
                <w:rFonts w:hint="default" w:ascii="Times New Roman" w:hAnsi="Times New Roman" w:eastAsia="宋体" w:cs="Times New Roman"/>
                <w:color w:val="auto"/>
                <w:sz w:val="21"/>
                <w:szCs w:val="20"/>
                <w:lang w:val="en-US" w:eastAsia="zh-CN"/>
              </w:rPr>
              <w:t>规章制度</w:t>
            </w:r>
            <w:r>
              <w:rPr>
                <w:rFonts w:hint="eastAsia"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岗位设置</w:t>
            </w:r>
            <w:r>
              <w:rPr>
                <w:rFonts w:hint="default" w:ascii="Times New Roman" w:hAnsi="Times New Roman" w:eastAsia="宋体" w:cs="Times New Roman"/>
                <w:color w:val="auto"/>
                <w:szCs w:val="20"/>
                <w:lang w:eastAsia="zh-CN"/>
              </w:rPr>
              <w:t>具有合理性、规范性、可行性；</w:t>
            </w:r>
            <w:r>
              <w:rPr>
                <w:rFonts w:hint="default" w:ascii="Times New Roman" w:hAnsi="Times New Roman" w:eastAsia="宋体" w:cs="Times New Roman"/>
                <w:color w:val="auto"/>
                <w:szCs w:val="20"/>
              </w:rPr>
              <w:t>人员管理方案描述</w:t>
            </w:r>
            <w:r>
              <w:rPr>
                <w:rFonts w:hint="default" w:ascii="Times New Roman" w:hAnsi="Times New Roman" w:eastAsia="宋体" w:cs="Times New Roman"/>
                <w:color w:val="auto"/>
                <w:szCs w:val="20"/>
                <w:lang w:eastAsia="zh-CN"/>
              </w:rPr>
              <w:t>详细、有具体的</w:t>
            </w:r>
            <w:r>
              <w:rPr>
                <w:rFonts w:hint="default" w:ascii="Times New Roman" w:hAnsi="Times New Roman" w:eastAsia="宋体" w:cs="Times New Roman"/>
                <w:color w:val="auto"/>
                <w:szCs w:val="20"/>
              </w:rPr>
              <w:t>措施、</w:t>
            </w:r>
            <w:r>
              <w:rPr>
                <w:rFonts w:hint="default" w:ascii="Times New Roman" w:hAnsi="Times New Roman" w:eastAsia="宋体" w:cs="Times New Roman"/>
                <w:color w:val="auto"/>
                <w:szCs w:val="20"/>
                <w:lang w:eastAsia="zh-CN"/>
              </w:rPr>
              <w:t>方案具有</w:t>
            </w:r>
            <w:r>
              <w:rPr>
                <w:rFonts w:hint="default" w:ascii="Times New Roman" w:hAnsi="Times New Roman" w:eastAsia="宋体" w:cs="Times New Roman"/>
                <w:color w:val="auto"/>
                <w:szCs w:val="20"/>
              </w:rPr>
              <w:t>针对性</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科学</w:t>
            </w:r>
            <w:r>
              <w:rPr>
                <w:rFonts w:hint="default" w:ascii="Times New Roman" w:hAnsi="Times New Roman" w:eastAsia="宋体" w:cs="Times New Roman"/>
                <w:color w:val="auto"/>
                <w:szCs w:val="20"/>
                <w:lang w:eastAsia="zh-CN"/>
              </w:rPr>
              <w:t>性</w:t>
            </w:r>
            <w:r>
              <w:rPr>
                <w:rFonts w:hint="default" w:ascii="Times New Roman" w:hAnsi="Times New Roman" w:eastAsia="宋体" w:cs="Times New Roman"/>
                <w:color w:val="auto"/>
                <w:szCs w:val="20"/>
              </w:rPr>
              <w:t>、切实可行</w:t>
            </w:r>
            <w:r>
              <w:rPr>
                <w:rFonts w:hint="default" w:ascii="Times New Roman" w:hAnsi="Times New Roman" w:eastAsia="宋体" w:cs="Times New Roman"/>
                <w:color w:val="auto"/>
                <w:szCs w:val="20"/>
                <w:lang w:eastAsia="zh-CN"/>
              </w:rPr>
              <w:t>的。</w:t>
            </w:r>
          </w:p>
          <w:p w14:paraId="3FA0B3CA">
            <w:pPr>
              <w:keepNext w:val="0"/>
              <w:keepLines w:val="0"/>
              <w:pageBreakBefore w:val="0"/>
              <w:kinsoku/>
              <w:wordWrap/>
              <w:overflowPunct/>
              <w:topLinePunct w:val="0"/>
              <w:autoSpaceDE/>
              <w:autoSpaceDN/>
              <w:bidi w:val="0"/>
              <w:adjustRightInd/>
              <w:snapToGrid w:val="0"/>
              <w:spacing w:before="0" w:beforeAutospacing="0" w:after="0" w:afterAutospacing="0" w:line="340" w:lineRule="exact"/>
              <w:ind w:left="0" w:right="0" w:firstLine="420" w:firstLineChars="200"/>
              <w:jc w:val="left"/>
              <w:textAlignment w:val="auto"/>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lang w:val="en-US" w:eastAsia="zh-CN"/>
              </w:rPr>
              <w:t>二</w:t>
            </w:r>
            <w:r>
              <w:rPr>
                <w:rFonts w:hint="default" w:ascii="Times New Roman" w:hAnsi="Times New Roman" w:eastAsia="宋体" w:cs="Times New Roman"/>
                <w:color w:val="auto"/>
                <w:sz w:val="21"/>
                <w:szCs w:val="20"/>
              </w:rPr>
              <w:t>档（</w:t>
            </w:r>
            <w:r>
              <w:rPr>
                <w:rFonts w:hint="eastAsia" w:ascii="Times New Roman" w:hAnsi="Times New Roman" w:cs="Times New Roman"/>
                <w:color w:val="auto"/>
                <w:sz w:val="21"/>
                <w:szCs w:val="20"/>
                <w:lang w:val="en-US" w:eastAsia="zh-CN"/>
              </w:rPr>
              <w:t>8</w:t>
            </w:r>
            <w:r>
              <w:rPr>
                <w:rFonts w:hint="default" w:ascii="Times New Roman" w:hAnsi="Times New Roman" w:eastAsia="宋体" w:cs="Times New Roman"/>
                <w:color w:val="auto"/>
                <w:sz w:val="21"/>
                <w:szCs w:val="20"/>
              </w:rPr>
              <w:t>分）：</w:t>
            </w:r>
            <w:r>
              <w:rPr>
                <w:rFonts w:hint="default" w:ascii="Times New Roman" w:hAnsi="Times New Roman" w:eastAsia="宋体" w:cs="Times New Roman"/>
                <w:color w:val="auto"/>
                <w:szCs w:val="20"/>
              </w:rPr>
              <w:t>公司规章制度</w:t>
            </w:r>
            <w:r>
              <w:rPr>
                <w:rFonts w:hint="default" w:ascii="Times New Roman" w:hAnsi="Times New Roman" w:eastAsia="宋体" w:cs="Times New Roman"/>
                <w:color w:val="auto"/>
                <w:szCs w:val="20"/>
                <w:lang w:eastAsia="zh-CN"/>
              </w:rPr>
              <w:t>基本完善，</w:t>
            </w:r>
            <w:r>
              <w:rPr>
                <w:rFonts w:hint="eastAsia" w:ascii="Times New Roman" w:hAnsi="Times New Roman" w:eastAsia="宋体" w:cs="Times New Roman"/>
                <w:color w:val="auto"/>
                <w:szCs w:val="20"/>
                <w:lang w:val="en-US" w:eastAsia="zh-CN"/>
              </w:rPr>
              <w:t>具</w:t>
            </w:r>
            <w:r>
              <w:rPr>
                <w:rFonts w:hint="default" w:ascii="Times New Roman" w:hAnsi="Times New Roman" w:eastAsia="宋体" w:cs="Times New Roman"/>
                <w:color w:val="auto"/>
                <w:szCs w:val="20"/>
              </w:rPr>
              <w:t>有相应的</w:t>
            </w:r>
            <w:r>
              <w:rPr>
                <w:rFonts w:hint="default" w:ascii="Times New Roman" w:hAnsi="Times New Roman" w:eastAsia="宋体" w:cs="Times New Roman"/>
                <w:color w:val="auto"/>
                <w:szCs w:val="20"/>
                <w:lang w:val="en-US" w:eastAsia="zh-CN"/>
              </w:rPr>
              <w:t>项目组织实施方案、项目</w:t>
            </w:r>
            <w:r>
              <w:rPr>
                <w:rFonts w:hint="default" w:ascii="Times New Roman" w:hAnsi="Times New Roman" w:eastAsia="宋体" w:cs="Times New Roman"/>
                <w:color w:val="auto"/>
                <w:sz w:val="21"/>
                <w:szCs w:val="20"/>
                <w:lang w:val="en-US" w:eastAsia="zh-CN"/>
              </w:rPr>
              <w:t>运维措施、</w:t>
            </w:r>
            <w:r>
              <w:rPr>
                <w:rFonts w:hint="default" w:ascii="Times New Roman" w:hAnsi="Times New Roman" w:eastAsia="宋体" w:cs="Times New Roman"/>
                <w:color w:val="auto"/>
                <w:szCs w:val="20"/>
                <w:lang w:val="en-US" w:eastAsia="zh-CN"/>
              </w:rPr>
              <w:t>项目</w:t>
            </w:r>
            <w:r>
              <w:rPr>
                <w:rFonts w:hint="default" w:ascii="Times New Roman" w:hAnsi="Times New Roman" w:eastAsia="宋体" w:cs="Times New Roman"/>
                <w:color w:val="auto"/>
                <w:sz w:val="21"/>
                <w:szCs w:val="20"/>
                <w:lang w:val="en-US" w:eastAsia="zh-CN"/>
              </w:rPr>
              <w:t>应急方案、</w:t>
            </w:r>
            <w:r>
              <w:rPr>
                <w:rFonts w:hint="eastAsia" w:ascii="Times New Roman" w:hAnsi="Times New Roman" w:eastAsia="宋体" w:cs="Times New Roman"/>
                <w:color w:val="auto"/>
                <w:sz w:val="21"/>
                <w:szCs w:val="20"/>
                <w:lang w:val="en-US" w:eastAsia="zh-CN"/>
              </w:rPr>
              <w:t>日常管理</w:t>
            </w:r>
            <w:r>
              <w:rPr>
                <w:rFonts w:hint="default" w:ascii="Times New Roman" w:hAnsi="Times New Roman" w:eastAsia="宋体" w:cs="Times New Roman"/>
                <w:color w:val="auto"/>
                <w:sz w:val="21"/>
                <w:szCs w:val="20"/>
                <w:lang w:val="en-US" w:eastAsia="zh-CN"/>
              </w:rPr>
              <w:t>规章制度</w:t>
            </w:r>
            <w:r>
              <w:rPr>
                <w:rFonts w:hint="eastAsia"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eastAsia="zh-CN"/>
              </w:rPr>
              <w:t>且</w:t>
            </w:r>
            <w:r>
              <w:rPr>
                <w:rFonts w:hint="default" w:ascii="Times New Roman" w:hAnsi="Times New Roman" w:eastAsia="宋体" w:cs="Times New Roman"/>
                <w:color w:val="auto"/>
                <w:szCs w:val="20"/>
              </w:rPr>
              <w:t>岗位设置较合理</w:t>
            </w:r>
            <w:r>
              <w:rPr>
                <w:rFonts w:hint="default" w:ascii="Times New Roman" w:hAnsi="Times New Roman" w:eastAsia="宋体" w:cs="Times New Roman"/>
                <w:color w:val="auto"/>
                <w:szCs w:val="20"/>
                <w:lang w:eastAsia="zh-CN"/>
              </w:rPr>
              <w:t>、较规范；</w:t>
            </w:r>
            <w:r>
              <w:rPr>
                <w:rFonts w:hint="default" w:ascii="Times New Roman" w:hAnsi="Times New Roman" w:eastAsia="宋体" w:cs="Times New Roman"/>
                <w:color w:val="auto"/>
                <w:szCs w:val="20"/>
              </w:rPr>
              <w:t>人员管理方案描述</w:t>
            </w:r>
            <w:r>
              <w:rPr>
                <w:rFonts w:hint="default" w:ascii="Times New Roman" w:hAnsi="Times New Roman" w:eastAsia="宋体" w:cs="Times New Roman"/>
                <w:color w:val="auto"/>
                <w:szCs w:val="20"/>
                <w:lang w:eastAsia="zh-CN"/>
              </w:rPr>
              <w:t>基本合理可行的；</w:t>
            </w:r>
          </w:p>
          <w:p w14:paraId="339BAB7A">
            <w:pPr>
              <w:keepNext w:val="0"/>
              <w:keepLines w:val="0"/>
              <w:pageBreakBefore w:val="0"/>
              <w:kinsoku/>
              <w:wordWrap/>
              <w:overflowPunct/>
              <w:topLinePunct w:val="0"/>
              <w:autoSpaceDE/>
              <w:autoSpaceDN/>
              <w:bidi w:val="0"/>
              <w:adjustRightInd/>
              <w:snapToGrid w:val="0"/>
              <w:spacing w:before="0" w:beforeAutospacing="0" w:after="0" w:afterAutospacing="0" w:line="340" w:lineRule="exact"/>
              <w:ind w:left="0" w:right="0" w:firstLine="420" w:firstLineChars="200"/>
              <w:jc w:val="left"/>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 w:val="21"/>
                <w:szCs w:val="20"/>
                <w:lang w:val="en-US" w:eastAsia="zh-CN"/>
              </w:rPr>
              <w:t>三</w:t>
            </w:r>
            <w:r>
              <w:rPr>
                <w:rFonts w:hint="default" w:ascii="Times New Roman" w:hAnsi="Times New Roman" w:eastAsia="宋体" w:cs="Times New Roman"/>
                <w:color w:val="auto"/>
                <w:sz w:val="21"/>
                <w:szCs w:val="20"/>
              </w:rPr>
              <w:t>档（</w:t>
            </w:r>
            <w:r>
              <w:rPr>
                <w:rFonts w:hint="eastAsia" w:ascii="Times New Roman" w:hAnsi="Times New Roman" w:cs="Times New Roman"/>
                <w:color w:val="auto"/>
                <w:sz w:val="21"/>
                <w:szCs w:val="20"/>
                <w:lang w:val="en-US" w:eastAsia="zh-CN"/>
              </w:rPr>
              <w:t>4</w:t>
            </w:r>
            <w:r>
              <w:rPr>
                <w:rFonts w:hint="default" w:ascii="Times New Roman" w:hAnsi="Times New Roman" w:eastAsia="宋体" w:cs="Times New Roman"/>
                <w:color w:val="auto"/>
                <w:sz w:val="21"/>
                <w:szCs w:val="20"/>
              </w:rPr>
              <w:t>分）：</w:t>
            </w:r>
            <w:r>
              <w:rPr>
                <w:rFonts w:hint="default" w:ascii="Times New Roman" w:hAnsi="Times New Roman" w:eastAsia="宋体" w:cs="Times New Roman"/>
                <w:color w:val="auto"/>
                <w:szCs w:val="20"/>
              </w:rPr>
              <w:t>公司规章制度不完善</w:t>
            </w:r>
            <w:r>
              <w:rPr>
                <w:rFonts w:hint="eastAsia" w:ascii="Times New Roman" w:hAnsi="Times New Roman" w:eastAsia="宋体" w:cs="Times New Roman"/>
                <w:color w:val="auto"/>
                <w:szCs w:val="20"/>
                <w:lang w:val="en-US" w:eastAsia="zh-CN"/>
              </w:rPr>
              <w:t>或可行性差</w:t>
            </w:r>
            <w:r>
              <w:rPr>
                <w:rFonts w:hint="default" w:ascii="Times New Roman" w:hAnsi="Times New Roman" w:eastAsia="宋体" w:cs="Times New Roman"/>
                <w:color w:val="auto"/>
                <w:szCs w:val="20"/>
              </w:rPr>
              <w:t>，人员管理方案简单</w:t>
            </w:r>
            <w:r>
              <w:rPr>
                <w:rFonts w:hint="default" w:ascii="Times New Roman" w:hAnsi="Times New Roman" w:eastAsia="宋体" w:cs="Times New Roman"/>
                <w:color w:val="auto"/>
                <w:szCs w:val="20"/>
                <w:lang w:eastAsia="zh-CN"/>
              </w:rPr>
              <w:t>的；</w:t>
            </w:r>
          </w:p>
        </w:tc>
      </w:tr>
      <w:tr w14:paraId="2A8E8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51" w:type="dxa"/>
            <w:gridSpan w:val="3"/>
            <w:tcBorders>
              <w:top w:val="single" w:color="auto" w:sz="4" w:space="0"/>
              <w:left w:val="single" w:color="auto" w:sz="4" w:space="0"/>
              <w:bottom w:val="single" w:color="auto" w:sz="4" w:space="0"/>
              <w:right w:val="single" w:color="auto" w:sz="4" w:space="0"/>
            </w:tcBorders>
            <w:vAlign w:val="center"/>
          </w:tcPr>
          <w:p w14:paraId="3076A696">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楷体_GB2312" w:cs="Times New Roman"/>
                <w:b w:val="0"/>
                <w:bCs w:val="0"/>
                <w:color w:val="auto"/>
                <w:szCs w:val="21"/>
                <w:lang w:val="en-US" w:eastAsia="zh-CN"/>
              </w:rPr>
              <w:t>（四）商务</w:t>
            </w:r>
            <w:r>
              <w:rPr>
                <w:rFonts w:hint="eastAsia" w:ascii="Times New Roman" w:hAnsi="Times New Roman" w:eastAsia="楷体_GB2312" w:cs="Times New Roman"/>
                <w:b w:val="0"/>
                <w:bCs w:val="0"/>
                <w:color w:val="auto"/>
                <w:szCs w:val="21"/>
                <w:lang w:val="en-US" w:eastAsia="zh-CN"/>
              </w:rPr>
              <w:t>部分</w:t>
            </w:r>
            <w:r>
              <w:rPr>
                <w:rFonts w:hint="default" w:ascii="Times New Roman" w:hAnsi="Times New Roman" w:eastAsia="楷体_GB2312" w:cs="Times New Roman"/>
                <w:b w:val="0"/>
                <w:bCs w:val="0"/>
                <w:color w:val="auto"/>
              </w:rPr>
              <w:t>（满分</w:t>
            </w:r>
            <w:r>
              <w:rPr>
                <w:rFonts w:hint="eastAsia" w:ascii="Times New Roman" w:hAnsi="Times New Roman" w:eastAsia="楷体_GB2312" w:cs="Times New Roman"/>
                <w:b w:val="0"/>
                <w:bCs w:val="0"/>
                <w:color w:val="auto"/>
                <w:lang w:val="en-US" w:eastAsia="zh-CN"/>
              </w:rPr>
              <w:t>25</w:t>
            </w:r>
            <w:r>
              <w:rPr>
                <w:rFonts w:hint="default" w:ascii="Times New Roman" w:hAnsi="Times New Roman" w:eastAsia="楷体_GB2312" w:cs="Times New Roman"/>
                <w:b w:val="0"/>
                <w:bCs w:val="0"/>
                <w:color w:val="auto"/>
              </w:rPr>
              <w:t>分）</w:t>
            </w:r>
          </w:p>
        </w:tc>
      </w:tr>
      <w:tr w14:paraId="6D026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3E1ACE23">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1187" w:type="dxa"/>
            <w:tcBorders>
              <w:top w:val="single" w:color="auto" w:sz="4" w:space="0"/>
              <w:left w:val="single" w:color="auto" w:sz="4" w:space="0"/>
              <w:bottom w:val="single" w:color="auto" w:sz="4" w:space="0"/>
              <w:right w:val="single" w:color="auto" w:sz="4" w:space="0"/>
            </w:tcBorders>
            <w:vAlign w:val="center"/>
          </w:tcPr>
          <w:p w14:paraId="73B4B708">
            <w:pPr>
              <w:keepNext w:val="0"/>
              <w:keepLines w:val="0"/>
              <w:pageBreakBefore w:val="0"/>
              <w:tabs>
                <w:tab w:val="center" w:pos="4153"/>
                <w:tab w:val="right" w:pos="8306"/>
              </w:tabs>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企</w:t>
            </w:r>
            <w:r>
              <w:rPr>
                <w:rFonts w:hint="default" w:ascii="Times New Roman" w:hAnsi="Times New Roman" w:eastAsia="宋体" w:cs="Times New Roman"/>
                <w:b w:val="0"/>
                <w:bCs/>
                <w:color w:val="auto"/>
                <w:szCs w:val="21"/>
              </w:rPr>
              <w:t>业信誉</w:t>
            </w:r>
          </w:p>
          <w:p w14:paraId="42A49C4A">
            <w:pPr>
              <w:keepNext w:val="0"/>
              <w:keepLines w:val="0"/>
              <w:pageBreakBefore w:val="0"/>
              <w:tabs>
                <w:tab w:val="center" w:pos="4153"/>
                <w:tab w:val="right" w:pos="8306"/>
              </w:tabs>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cs="Times New Roman"/>
                <w:color w:val="auto"/>
                <w:szCs w:val="21"/>
              </w:rPr>
            </w:pPr>
            <w:r>
              <w:rPr>
                <w:rFonts w:hint="default" w:ascii="Times New Roman" w:hAnsi="Times New Roman" w:eastAsia="宋体" w:cs="Times New Roman"/>
                <w:b w:val="0"/>
                <w:bCs/>
                <w:color w:val="auto"/>
              </w:rPr>
              <w:t>（</w:t>
            </w:r>
            <w:r>
              <w:rPr>
                <w:rFonts w:hint="default" w:ascii="Times New Roman" w:hAnsi="Times New Roman" w:cs="Times New Roman"/>
                <w:color w:val="auto"/>
                <w:szCs w:val="21"/>
              </w:rPr>
              <w:t>满分</w:t>
            </w:r>
            <w:r>
              <w:rPr>
                <w:rFonts w:hint="eastAsia" w:ascii="Times New Roman" w:hAnsi="Times New Roman" w:cs="Times New Roman"/>
                <w:color w:val="auto"/>
                <w:szCs w:val="21"/>
                <w:lang w:val="en-US" w:eastAsia="zh-CN"/>
              </w:rPr>
              <w:t>10</w:t>
            </w:r>
            <w:r>
              <w:rPr>
                <w:rFonts w:hint="default" w:ascii="Times New Roman" w:hAnsi="Times New Roman" w:eastAsia="宋体" w:cs="Times New Roman"/>
                <w:b w:val="0"/>
                <w:bCs/>
                <w:color w:val="auto"/>
              </w:rPr>
              <w:t>分）</w:t>
            </w:r>
          </w:p>
        </w:tc>
        <w:tc>
          <w:tcPr>
            <w:tcW w:w="6787" w:type="dxa"/>
            <w:tcBorders>
              <w:top w:val="single" w:color="auto" w:sz="4" w:space="0"/>
              <w:left w:val="single" w:color="auto" w:sz="4" w:space="0"/>
              <w:bottom w:val="single" w:color="auto" w:sz="4" w:space="0"/>
              <w:right w:val="single" w:color="auto" w:sz="4" w:space="0"/>
            </w:tcBorders>
            <w:vAlign w:val="top"/>
          </w:tcPr>
          <w:p w14:paraId="4C65E9C1">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firstLine="44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供应商在以往环境监测服务中</w:t>
            </w:r>
            <w:r>
              <w:rPr>
                <w:rFonts w:hint="eastAsia" w:ascii="Times New Roman" w:hAnsi="Times New Roman" w:cs="Times New Roman"/>
                <w:color w:val="auto"/>
                <w:lang w:val="en-US" w:eastAsia="zh-CN"/>
              </w:rPr>
              <w:t>近3年</w:t>
            </w:r>
            <w:r>
              <w:rPr>
                <w:rFonts w:hint="default" w:ascii="Times New Roman" w:hAnsi="Times New Roman" w:eastAsia="宋体" w:cs="Times New Roman"/>
                <w:color w:val="auto"/>
              </w:rPr>
              <w:t>未受到各级环保主管部门行政处罚、通报、记不良记录、记过、或存在弄虚作假等不良行为记录的，加盖供应商公章（供应商的承诺必须真实有效，若经查实存在虚假承诺的情形，则采购人有权取消其成交资格，并上报监督管理部门处理，且保留追究法律责任的权利），得</w:t>
            </w:r>
            <w:r>
              <w:rPr>
                <w:rFonts w:hint="eastAsia" w:ascii="Times New Roman" w:hAnsi="Times New Roman" w:cs="Times New Roman"/>
                <w:color w:val="auto"/>
                <w:lang w:val="en-US" w:eastAsia="zh-CN"/>
              </w:rPr>
              <w:t>10</w:t>
            </w:r>
            <w:r>
              <w:rPr>
                <w:rFonts w:hint="default" w:ascii="Times New Roman" w:hAnsi="Times New Roman" w:eastAsia="宋体" w:cs="Times New Roman"/>
                <w:color w:val="auto"/>
              </w:rPr>
              <w:t>分</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未提供相应承诺函或有不良记录的，</w:t>
            </w:r>
            <w:r>
              <w:rPr>
                <w:rFonts w:hint="eastAsia" w:ascii="Times New Roman" w:hAnsi="Times New Roman" w:eastAsia="宋体" w:cs="Times New Roman"/>
                <w:color w:val="auto"/>
                <w:lang w:val="en-US" w:eastAsia="zh-CN"/>
              </w:rPr>
              <w:t>得0</w:t>
            </w:r>
            <w:r>
              <w:rPr>
                <w:rFonts w:hint="default" w:ascii="Times New Roman" w:hAnsi="Times New Roman" w:eastAsia="宋体" w:cs="Times New Roman"/>
                <w:color w:val="auto"/>
              </w:rPr>
              <w:t>分</w:t>
            </w:r>
            <w:r>
              <w:rPr>
                <w:rFonts w:hint="default" w:ascii="Times New Roman" w:hAnsi="Times New Roman" w:eastAsia="宋体" w:cs="Times New Roman"/>
                <w:color w:val="auto"/>
                <w:lang w:eastAsia="zh-CN"/>
              </w:rPr>
              <w:t>。</w:t>
            </w:r>
          </w:p>
        </w:tc>
      </w:tr>
      <w:tr w14:paraId="5C5AA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391A03FF">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187" w:type="dxa"/>
            <w:tcBorders>
              <w:top w:val="single" w:color="auto" w:sz="4" w:space="0"/>
              <w:left w:val="single" w:color="auto" w:sz="4" w:space="0"/>
              <w:bottom w:val="single" w:color="auto" w:sz="4" w:space="0"/>
              <w:right w:val="single" w:color="auto" w:sz="4" w:space="0"/>
            </w:tcBorders>
            <w:vAlign w:val="center"/>
          </w:tcPr>
          <w:p w14:paraId="55193648">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项目</w:t>
            </w:r>
            <w:r>
              <w:rPr>
                <w:rFonts w:hint="default" w:ascii="Times New Roman" w:hAnsi="Times New Roman" w:cs="Times New Roman"/>
                <w:color w:val="auto"/>
                <w:szCs w:val="21"/>
              </w:rPr>
              <w:t>业绩</w:t>
            </w:r>
          </w:p>
          <w:p w14:paraId="6D2D40D5">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（满分</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分）</w:t>
            </w:r>
          </w:p>
        </w:tc>
        <w:tc>
          <w:tcPr>
            <w:tcW w:w="6787" w:type="dxa"/>
            <w:tcBorders>
              <w:top w:val="single" w:color="auto" w:sz="4" w:space="0"/>
              <w:left w:val="single" w:color="auto" w:sz="4" w:space="0"/>
              <w:bottom w:val="single" w:color="auto" w:sz="4" w:space="0"/>
              <w:right w:val="single" w:color="auto" w:sz="4" w:space="0"/>
            </w:tcBorders>
            <w:vAlign w:val="top"/>
          </w:tcPr>
          <w:p w14:paraId="1EE9EFE1">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firstLine="44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运维机构提供近</w:t>
            </w: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202</w:t>
            </w: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年</w:t>
            </w:r>
            <w:r>
              <w:rPr>
                <w:rFonts w:hint="eastAsia" w:ascii="Times New Roman" w:hAnsi="Times New Roman" w:cs="Times New Roman"/>
                <w:color w:val="auto"/>
                <w:szCs w:val="21"/>
                <w:lang w:val="en-US" w:eastAsia="zh-CN"/>
              </w:rPr>
              <w:t>4</w:t>
            </w:r>
            <w:r>
              <w:rPr>
                <w:rFonts w:hint="default" w:ascii="Times New Roman" w:hAnsi="Times New Roman" w:eastAsia="宋体" w:cs="Times New Roman"/>
                <w:color w:val="auto"/>
                <w:szCs w:val="21"/>
              </w:rPr>
              <w:t>月至今）</w:t>
            </w:r>
            <w:r>
              <w:rPr>
                <w:rFonts w:hint="eastAsia" w:ascii="Times New Roman" w:hAnsi="Times New Roman" w:eastAsia="宋体" w:cs="Times New Roman"/>
                <w:color w:val="auto"/>
                <w:szCs w:val="21"/>
                <w:lang w:val="en-US" w:eastAsia="zh-CN"/>
              </w:rPr>
              <w:t>环境空气自动监测</w:t>
            </w:r>
            <w:r>
              <w:rPr>
                <w:rFonts w:hint="default" w:ascii="Times New Roman" w:hAnsi="Times New Roman" w:eastAsia="宋体" w:cs="Times New Roman"/>
                <w:color w:val="auto"/>
                <w:szCs w:val="21"/>
              </w:rPr>
              <w:t>站运维项目业绩证明材料（以合同复印件和中标书为准）。</w:t>
            </w:r>
          </w:p>
          <w:p w14:paraId="64D0DD03">
            <w:pPr>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exact"/>
              <w:ind w:left="0" w:right="0" w:firstLine="440" w:firstLineChars="200"/>
              <w:jc w:val="left"/>
              <w:textAlignment w:val="auto"/>
              <w:rPr>
                <w:rFonts w:hint="default" w:ascii="Times New Roman" w:hAnsi="Times New Roman" w:eastAsia="宋体" w:cs="Times New Roman"/>
                <w:color w:val="auto"/>
                <w:lang w:val="en-US" w:eastAsia="zh-CN"/>
              </w:rPr>
            </w:pPr>
            <w:r>
              <w:rPr>
                <w:rFonts w:hint="eastAsia" w:ascii="宋体" w:hAnsi="宋体"/>
                <w:color w:val="auto"/>
                <w:szCs w:val="21"/>
                <w:lang w:val="en-US" w:eastAsia="zh-CN"/>
              </w:rPr>
              <w:t>一档（1</w:t>
            </w:r>
            <w:r>
              <w:rPr>
                <w:rFonts w:hint="eastAsia"/>
                <w:color w:val="auto"/>
                <w:szCs w:val="21"/>
                <w:lang w:val="en-US" w:eastAsia="zh-CN"/>
              </w:rPr>
              <w:t>5</w:t>
            </w:r>
            <w:r>
              <w:rPr>
                <w:rFonts w:hint="eastAsia" w:ascii="宋体" w:hAnsi="宋体"/>
                <w:color w:val="auto"/>
                <w:szCs w:val="21"/>
              </w:rPr>
              <w:t>分</w:t>
            </w:r>
            <w:r>
              <w:rPr>
                <w:rFonts w:hint="eastAsia" w:ascii="宋体" w:hAnsi="宋体"/>
                <w:color w:val="auto"/>
                <w:szCs w:val="21"/>
                <w:lang w:val="en-US" w:eastAsia="zh-CN"/>
              </w:rPr>
              <w:t>）：</w:t>
            </w:r>
            <w:r>
              <w:rPr>
                <w:rFonts w:hint="default" w:ascii="Times New Roman" w:hAnsi="Times New Roman" w:eastAsia="宋体" w:cs="Times New Roman"/>
                <w:color w:val="auto"/>
                <w:szCs w:val="21"/>
              </w:rPr>
              <w:t>具有国家级</w:t>
            </w:r>
            <w:r>
              <w:rPr>
                <w:rFonts w:hint="eastAsia" w:ascii="Times New Roman" w:hAnsi="Times New Roman" w:cs="Times New Roman"/>
                <w:color w:val="auto"/>
                <w:szCs w:val="21"/>
                <w:lang w:val="en-US" w:eastAsia="zh-CN"/>
              </w:rPr>
              <w:t>或省级</w:t>
            </w:r>
            <w:r>
              <w:rPr>
                <w:rFonts w:hint="eastAsia" w:ascii="Times New Roman" w:hAnsi="Times New Roman" w:eastAsia="宋体" w:cs="Times New Roman"/>
                <w:color w:val="auto"/>
                <w:szCs w:val="21"/>
                <w:lang w:val="en-US" w:eastAsia="zh-CN"/>
              </w:rPr>
              <w:t>环境空气自动监测</w:t>
            </w:r>
            <w:r>
              <w:rPr>
                <w:rFonts w:hint="default" w:ascii="Times New Roman" w:hAnsi="Times New Roman" w:eastAsia="宋体" w:cs="Times New Roman"/>
                <w:color w:val="auto"/>
                <w:szCs w:val="21"/>
              </w:rPr>
              <w:t>站运维</w:t>
            </w:r>
            <w:r>
              <w:rPr>
                <w:rFonts w:hint="eastAsia" w:ascii="Times New Roman" w:hAnsi="Times New Roman" w:cs="Times New Roman"/>
                <w:color w:val="auto"/>
                <w:szCs w:val="21"/>
                <w:lang w:val="en-US" w:eastAsia="zh-CN"/>
              </w:rPr>
              <w:t>服务经历累计3</w:t>
            </w:r>
            <w:r>
              <w:rPr>
                <w:rFonts w:hint="eastAsia" w:ascii="Times New Roman" w:hAnsi="Times New Roman" w:eastAsia="宋体" w:cs="Times New Roman"/>
                <w:color w:val="auto"/>
                <w:szCs w:val="21"/>
                <w:lang w:val="en-US" w:eastAsia="zh-CN"/>
              </w:rPr>
              <w:t>年</w:t>
            </w:r>
            <w:r>
              <w:rPr>
                <w:rFonts w:hint="eastAsia" w:ascii="Times New Roman" w:hAnsi="Times New Roman" w:cs="Times New Roman"/>
                <w:color w:val="auto"/>
                <w:szCs w:val="21"/>
                <w:lang w:val="en-US" w:eastAsia="zh-CN"/>
              </w:rPr>
              <w:t>及以上</w:t>
            </w:r>
            <w:r>
              <w:rPr>
                <w:rFonts w:hint="default" w:ascii="Times New Roman" w:hAnsi="Times New Roman" w:eastAsia="宋体" w:cs="Times New Roman"/>
                <w:color w:val="auto"/>
                <w:szCs w:val="21"/>
              </w:rPr>
              <w:t>，</w:t>
            </w:r>
            <w:r>
              <w:rPr>
                <w:rFonts w:hint="eastAsia" w:ascii="Times New Roman" w:hAnsi="Times New Roman" w:cs="Times New Roman"/>
                <w:color w:val="auto"/>
                <w:szCs w:val="21"/>
                <w:lang w:val="en-US" w:eastAsia="zh-CN"/>
              </w:rPr>
              <w:t>同时运维服务项目（合同）达6个或以上，</w:t>
            </w:r>
            <w:r>
              <w:rPr>
                <w:rFonts w:hint="eastAsia" w:ascii="Times New Roman" w:hAnsi="Times New Roman" w:eastAsia="宋体" w:cs="Times New Roman"/>
                <w:color w:val="auto"/>
                <w:lang w:val="en-US" w:eastAsia="zh-CN"/>
              </w:rPr>
              <w:t>运维效果良好以上，没有不良记录的。</w:t>
            </w:r>
          </w:p>
          <w:p w14:paraId="01B6861F">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firstLine="440" w:firstLineChars="200"/>
              <w:textAlignment w:val="auto"/>
              <w:rPr>
                <w:rFonts w:hint="eastAsia" w:ascii="宋体" w:hAnsi="宋体"/>
                <w:color w:val="auto"/>
                <w:szCs w:val="21"/>
                <w:lang w:val="en-US" w:eastAsia="zh-CN"/>
              </w:rPr>
            </w:pPr>
            <w:r>
              <w:rPr>
                <w:rFonts w:hint="eastAsia" w:ascii="宋体" w:hAnsi="宋体"/>
                <w:color w:val="auto"/>
                <w:szCs w:val="21"/>
                <w:lang w:val="en-US" w:eastAsia="zh-CN"/>
              </w:rPr>
              <w:t>二档（10</w:t>
            </w:r>
            <w:r>
              <w:rPr>
                <w:rFonts w:hint="eastAsia" w:ascii="宋体" w:hAnsi="宋体"/>
                <w:color w:val="auto"/>
                <w:szCs w:val="21"/>
              </w:rPr>
              <w:t>分</w:t>
            </w:r>
            <w:r>
              <w:rPr>
                <w:rFonts w:hint="eastAsia" w:ascii="宋体" w:hAnsi="宋体"/>
                <w:color w:val="auto"/>
                <w:szCs w:val="21"/>
                <w:lang w:val="en-US" w:eastAsia="zh-CN"/>
              </w:rPr>
              <w:t>）：</w:t>
            </w:r>
            <w:r>
              <w:rPr>
                <w:rFonts w:hint="default" w:ascii="Times New Roman" w:hAnsi="Times New Roman" w:eastAsia="宋体" w:cs="Times New Roman"/>
                <w:color w:val="auto"/>
                <w:szCs w:val="21"/>
              </w:rPr>
              <w:t>具有</w:t>
            </w:r>
            <w:r>
              <w:rPr>
                <w:rFonts w:hint="eastAsia" w:ascii="Times New Roman" w:hAnsi="Times New Roman" w:cs="Times New Roman"/>
                <w:color w:val="auto"/>
                <w:szCs w:val="21"/>
                <w:lang w:val="en-US" w:eastAsia="zh-CN"/>
              </w:rPr>
              <w:t>国家级或省级</w:t>
            </w:r>
            <w:r>
              <w:rPr>
                <w:rFonts w:hint="eastAsia" w:ascii="Times New Roman" w:hAnsi="Times New Roman" w:eastAsia="宋体" w:cs="Times New Roman"/>
                <w:color w:val="auto"/>
                <w:szCs w:val="21"/>
                <w:lang w:val="en-US" w:eastAsia="zh-CN"/>
              </w:rPr>
              <w:t>环境空气自动监测</w:t>
            </w:r>
            <w:r>
              <w:rPr>
                <w:rFonts w:hint="default" w:ascii="Times New Roman" w:hAnsi="Times New Roman" w:eastAsia="宋体" w:cs="Times New Roman"/>
                <w:color w:val="auto"/>
                <w:szCs w:val="21"/>
              </w:rPr>
              <w:t>站运维</w:t>
            </w:r>
            <w:r>
              <w:rPr>
                <w:rFonts w:hint="eastAsia" w:ascii="Times New Roman" w:hAnsi="Times New Roman" w:cs="Times New Roman"/>
                <w:color w:val="auto"/>
                <w:szCs w:val="21"/>
                <w:lang w:val="en-US" w:eastAsia="zh-CN"/>
              </w:rPr>
              <w:t>服务</w:t>
            </w:r>
            <w:r>
              <w:rPr>
                <w:rFonts w:hint="default" w:ascii="Times New Roman" w:hAnsi="Times New Roman" w:eastAsia="宋体" w:cs="Times New Roman"/>
                <w:color w:val="auto"/>
                <w:szCs w:val="21"/>
              </w:rPr>
              <w:t>经历</w:t>
            </w:r>
            <w:r>
              <w:rPr>
                <w:rFonts w:hint="eastAsia" w:ascii="Times New Roman" w:hAnsi="Times New Roman" w:cs="Times New Roman"/>
                <w:color w:val="auto"/>
                <w:szCs w:val="21"/>
                <w:lang w:val="en-US" w:eastAsia="zh-CN"/>
              </w:rPr>
              <w:t>累计2年及以上</w:t>
            </w:r>
            <w:r>
              <w:rPr>
                <w:rFonts w:hint="default" w:ascii="Times New Roman" w:hAnsi="Times New Roman" w:eastAsia="宋体" w:cs="Times New Roman"/>
                <w:color w:val="auto"/>
                <w:szCs w:val="21"/>
              </w:rPr>
              <w:t>，</w:t>
            </w:r>
            <w:r>
              <w:rPr>
                <w:rFonts w:hint="eastAsia" w:ascii="Times New Roman" w:hAnsi="Times New Roman" w:cs="Times New Roman"/>
                <w:color w:val="auto"/>
                <w:szCs w:val="21"/>
                <w:lang w:val="en-US" w:eastAsia="zh-CN"/>
              </w:rPr>
              <w:t>同时运维服务项目（合同）达5个或以上，</w:t>
            </w:r>
            <w:r>
              <w:rPr>
                <w:rFonts w:hint="eastAsia" w:ascii="Times New Roman" w:hAnsi="Times New Roman" w:eastAsia="宋体" w:cs="Times New Roman"/>
                <w:color w:val="auto"/>
                <w:lang w:val="en-US" w:eastAsia="zh-CN"/>
              </w:rPr>
              <w:t>运维效果良好以上，没有不良记录的。</w:t>
            </w:r>
          </w:p>
          <w:p w14:paraId="1765012A">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right="0" w:firstLine="440" w:firstLineChars="200"/>
              <w:textAlignment w:val="auto"/>
              <w:rPr>
                <w:rFonts w:hint="eastAsia" w:ascii="宋体" w:hAnsi="宋体"/>
                <w:color w:val="auto"/>
                <w:szCs w:val="21"/>
                <w:lang w:val="en-US" w:eastAsia="zh-CN"/>
              </w:rPr>
            </w:pPr>
            <w:r>
              <w:rPr>
                <w:rFonts w:hint="eastAsia" w:ascii="宋体" w:hAnsi="宋体"/>
                <w:color w:val="auto"/>
                <w:szCs w:val="21"/>
                <w:lang w:val="en-US" w:eastAsia="zh-CN"/>
              </w:rPr>
              <w:t>三档（</w:t>
            </w:r>
            <w:r>
              <w:rPr>
                <w:rFonts w:hint="eastAsia"/>
                <w:color w:val="auto"/>
                <w:szCs w:val="21"/>
                <w:lang w:val="en-US" w:eastAsia="zh-CN"/>
              </w:rPr>
              <w:t>8</w:t>
            </w:r>
            <w:r>
              <w:rPr>
                <w:rFonts w:hint="eastAsia" w:ascii="宋体" w:hAnsi="宋体"/>
                <w:color w:val="auto"/>
                <w:szCs w:val="21"/>
              </w:rPr>
              <w:t>分</w:t>
            </w:r>
            <w:r>
              <w:rPr>
                <w:rFonts w:hint="eastAsia" w:ascii="宋体" w:hAnsi="宋体"/>
                <w:color w:val="auto"/>
                <w:szCs w:val="21"/>
                <w:lang w:val="en-US" w:eastAsia="zh-CN"/>
              </w:rPr>
              <w:t>）：</w:t>
            </w:r>
            <w:r>
              <w:rPr>
                <w:rFonts w:hint="default" w:ascii="Times New Roman" w:hAnsi="Times New Roman" w:eastAsia="宋体" w:cs="Times New Roman"/>
                <w:color w:val="auto"/>
                <w:szCs w:val="21"/>
              </w:rPr>
              <w:t>具有</w:t>
            </w:r>
            <w:r>
              <w:rPr>
                <w:rFonts w:hint="eastAsia" w:ascii="Times New Roman" w:hAnsi="Times New Roman" w:cs="Times New Roman"/>
                <w:color w:val="auto"/>
                <w:szCs w:val="21"/>
                <w:lang w:val="en-US" w:eastAsia="zh-CN"/>
              </w:rPr>
              <w:t>国家级或省级</w:t>
            </w:r>
            <w:r>
              <w:rPr>
                <w:rFonts w:hint="eastAsia" w:ascii="Times New Roman" w:hAnsi="Times New Roman" w:eastAsia="宋体" w:cs="Times New Roman"/>
                <w:color w:val="auto"/>
                <w:szCs w:val="21"/>
                <w:lang w:val="en-US" w:eastAsia="zh-CN"/>
              </w:rPr>
              <w:t>环境空气自动监测</w:t>
            </w:r>
            <w:r>
              <w:rPr>
                <w:rFonts w:hint="default" w:ascii="Times New Roman" w:hAnsi="Times New Roman" w:eastAsia="宋体" w:cs="Times New Roman"/>
                <w:color w:val="auto"/>
                <w:szCs w:val="21"/>
              </w:rPr>
              <w:t>站运维</w:t>
            </w:r>
            <w:r>
              <w:rPr>
                <w:rFonts w:hint="eastAsia" w:ascii="Times New Roman" w:hAnsi="Times New Roman" w:cs="Times New Roman"/>
                <w:color w:val="auto"/>
                <w:szCs w:val="21"/>
                <w:lang w:val="en-US" w:eastAsia="zh-CN"/>
              </w:rPr>
              <w:t>服务</w:t>
            </w:r>
            <w:r>
              <w:rPr>
                <w:rFonts w:hint="default" w:ascii="Times New Roman" w:hAnsi="Times New Roman" w:eastAsia="宋体" w:cs="Times New Roman"/>
                <w:color w:val="auto"/>
                <w:szCs w:val="21"/>
              </w:rPr>
              <w:t>经历</w:t>
            </w:r>
            <w:r>
              <w:rPr>
                <w:rFonts w:hint="eastAsia" w:ascii="Times New Roman" w:hAnsi="Times New Roman" w:cs="Times New Roman"/>
                <w:color w:val="auto"/>
                <w:szCs w:val="21"/>
                <w:lang w:val="en-US" w:eastAsia="zh-CN"/>
              </w:rPr>
              <w:t>累计1年及以上</w:t>
            </w:r>
            <w:r>
              <w:rPr>
                <w:rFonts w:hint="default" w:ascii="Times New Roman" w:hAnsi="Times New Roman" w:eastAsia="宋体" w:cs="Times New Roman"/>
                <w:color w:val="auto"/>
                <w:szCs w:val="21"/>
              </w:rPr>
              <w:t>，</w:t>
            </w:r>
            <w:r>
              <w:rPr>
                <w:rFonts w:hint="eastAsia" w:ascii="Times New Roman" w:hAnsi="Times New Roman" w:cs="Times New Roman"/>
                <w:color w:val="auto"/>
                <w:szCs w:val="21"/>
                <w:lang w:val="en-US" w:eastAsia="zh-CN"/>
              </w:rPr>
              <w:t>同时运维服务项目（合同）达3个或以上，</w:t>
            </w:r>
            <w:r>
              <w:rPr>
                <w:rFonts w:hint="eastAsia" w:ascii="Times New Roman" w:hAnsi="Times New Roman" w:eastAsia="宋体" w:cs="Times New Roman"/>
                <w:color w:val="auto"/>
                <w:lang w:val="en-US" w:eastAsia="zh-CN"/>
              </w:rPr>
              <w:t>运维效果良好以上，没有不良记录的。</w:t>
            </w:r>
          </w:p>
          <w:p w14:paraId="5FC5E04A">
            <w:pPr>
              <w:adjustRightInd w:val="0"/>
              <w:snapToGrid w:val="0"/>
              <w:spacing w:before="0" w:beforeAutospacing="0" w:after="0" w:afterAutospacing="0" w:line="340" w:lineRule="exact"/>
              <w:ind w:left="0" w:right="0" w:firstLine="44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四档</w:t>
            </w:r>
            <w:r>
              <w:rPr>
                <w:rFonts w:hint="eastAsia" w:ascii="宋体" w:hAnsi="宋体"/>
                <w:color w:val="auto"/>
                <w:szCs w:val="21"/>
                <w:lang w:val="en-US" w:eastAsia="zh-CN"/>
              </w:rPr>
              <w:t>（4</w:t>
            </w:r>
            <w:r>
              <w:rPr>
                <w:rFonts w:hint="eastAsia" w:ascii="宋体" w:hAnsi="宋体"/>
                <w:color w:val="auto"/>
                <w:szCs w:val="21"/>
              </w:rPr>
              <w:t>分</w:t>
            </w:r>
            <w:r>
              <w:rPr>
                <w:rFonts w:hint="eastAsia" w:ascii="宋体" w:hAnsi="宋体"/>
                <w:color w:val="auto"/>
                <w:szCs w:val="21"/>
                <w:lang w:val="en-US" w:eastAsia="zh-CN"/>
              </w:rPr>
              <w:t>）</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具有</w:t>
            </w:r>
            <w:r>
              <w:rPr>
                <w:rFonts w:hint="eastAsia" w:ascii="Times New Roman" w:hAnsi="Times New Roman" w:cs="Times New Roman"/>
                <w:color w:val="auto"/>
                <w:szCs w:val="21"/>
                <w:lang w:val="en-US" w:eastAsia="zh-CN"/>
              </w:rPr>
              <w:t>市级</w:t>
            </w:r>
            <w:r>
              <w:rPr>
                <w:rFonts w:hint="eastAsia" w:ascii="Times New Roman" w:hAnsi="Times New Roman" w:eastAsia="宋体" w:cs="Times New Roman"/>
                <w:color w:val="auto"/>
                <w:szCs w:val="21"/>
                <w:lang w:val="en-US" w:eastAsia="zh-CN"/>
              </w:rPr>
              <w:t>环境空气自动监测</w:t>
            </w:r>
            <w:r>
              <w:rPr>
                <w:rFonts w:hint="default" w:ascii="Times New Roman" w:hAnsi="Times New Roman" w:eastAsia="宋体" w:cs="Times New Roman"/>
                <w:color w:val="auto"/>
                <w:szCs w:val="21"/>
              </w:rPr>
              <w:t>站运维经历</w:t>
            </w:r>
            <w:r>
              <w:rPr>
                <w:rFonts w:hint="eastAsia" w:ascii="Times New Roman" w:hAnsi="Times New Roman" w:cs="Times New Roman"/>
                <w:color w:val="auto"/>
                <w:szCs w:val="21"/>
                <w:lang w:val="en-US" w:eastAsia="zh-CN"/>
              </w:rPr>
              <w:t>2年</w:t>
            </w:r>
            <w:r>
              <w:rPr>
                <w:rFonts w:hint="eastAsia" w:ascii="Times New Roman" w:hAnsi="Times New Roman" w:eastAsia="宋体" w:cs="Times New Roman"/>
                <w:color w:val="auto"/>
                <w:szCs w:val="20"/>
                <w:lang w:val="en-US" w:eastAsia="zh-CN"/>
              </w:rPr>
              <w:t>以</w:t>
            </w:r>
            <w:r>
              <w:rPr>
                <w:rFonts w:hint="eastAsia" w:ascii="Times New Roman" w:hAnsi="Times New Roman" w:cs="Times New Roman"/>
                <w:color w:val="auto"/>
                <w:szCs w:val="20"/>
                <w:lang w:val="en-US" w:eastAsia="zh-CN"/>
              </w:rPr>
              <w:t>下</w:t>
            </w:r>
            <w:r>
              <w:rPr>
                <w:rFonts w:hint="eastAsia" w:ascii="Times New Roman" w:hAnsi="Times New Roman" w:eastAsia="宋体" w:cs="Times New Roman"/>
                <w:color w:val="auto"/>
                <w:szCs w:val="20"/>
              </w:rPr>
              <w:t>，</w:t>
            </w:r>
            <w:r>
              <w:rPr>
                <w:rFonts w:hint="eastAsia" w:ascii="Times New Roman" w:hAnsi="Times New Roman" w:eastAsia="宋体" w:cs="Times New Roman"/>
                <w:color w:val="auto"/>
                <w:lang w:val="en-US" w:eastAsia="zh-CN"/>
              </w:rPr>
              <w:t>没有不良记录的。</w:t>
            </w:r>
            <w:r>
              <w:rPr>
                <w:rFonts w:hint="default" w:ascii="Times New Roman" w:hAnsi="Times New Roman" w:eastAsia="宋体" w:cs="Times New Roman"/>
                <w:color w:val="auto"/>
                <w:szCs w:val="21"/>
              </w:rPr>
              <w:t>（以合同复印件和中标书为准）</w:t>
            </w:r>
          </w:p>
          <w:p w14:paraId="186A9CBD">
            <w:pPr>
              <w:adjustRightInd w:val="0"/>
              <w:snapToGrid w:val="0"/>
              <w:spacing w:before="0" w:beforeAutospacing="0" w:after="0" w:afterAutospacing="0" w:line="340" w:lineRule="exact"/>
              <w:ind w:left="0" w:right="0" w:firstLine="440" w:firstLineChars="200"/>
              <w:rPr>
                <w:rFonts w:hint="eastAsia" w:ascii="Times New Roman" w:hAnsi="Times New Roman" w:eastAsia="宋体" w:cs="Times New Roman"/>
                <w:color w:val="auto"/>
                <w:lang w:val="en-US" w:eastAsia="zh-CN"/>
              </w:rPr>
            </w:pPr>
            <w:r>
              <w:rPr>
                <w:rFonts w:hint="eastAsia" w:ascii="Times New Roman" w:hAnsi="Times New Roman"/>
                <w:color w:val="auto"/>
                <w:lang w:val="en-US" w:eastAsia="zh-CN"/>
              </w:rPr>
              <w:t>五档（2分）：</w:t>
            </w:r>
            <w:r>
              <w:rPr>
                <w:rFonts w:hint="eastAsia" w:ascii="Times New Roman" w:hAnsi="Times New Roman" w:eastAsia="宋体" w:cs="Times New Roman"/>
                <w:color w:val="auto"/>
                <w:szCs w:val="20"/>
              </w:rPr>
              <w:t>具有</w:t>
            </w:r>
            <w:r>
              <w:rPr>
                <w:rFonts w:hint="eastAsia" w:ascii="Times New Roman" w:hAnsi="Times New Roman" w:cs="Times New Roman"/>
                <w:color w:val="auto"/>
                <w:szCs w:val="20"/>
                <w:lang w:val="en-US" w:eastAsia="zh-CN"/>
              </w:rPr>
              <w:t>市级</w:t>
            </w:r>
            <w:r>
              <w:rPr>
                <w:rFonts w:hint="eastAsia" w:ascii="Times New Roman" w:hAnsi="Times New Roman" w:eastAsia="宋体" w:cs="Times New Roman"/>
                <w:color w:val="auto"/>
                <w:szCs w:val="20"/>
                <w:lang w:val="en-US" w:eastAsia="zh-CN"/>
              </w:rPr>
              <w:t>环境空气自动监测</w:t>
            </w:r>
            <w:r>
              <w:rPr>
                <w:rFonts w:hint="eastAsia" w:ascii="Times New Roman" w:hAnsi="Times New Roman" w:eastAsia="宋体" w:cs="Times New Roman"/>
                <w:color w:val="auto"/>
                <w:szCs w:val="20"/>
              </w:rPr>
              <w:t>站运维经历</w:t>
            </w:r>
            <w:r>
              <w:rPr>
                <w:rFonts w:hint="eastAsia" w:ascii="Times New Roman" w:hAnsi="Times New Roman" w:cs="Times New Roman"/>
                <w:color w:val="auto"/>
                <w:szCs w:val="20"/>
                <w:lang w:val="en-US" w:eastAsia="zh-CN"/>
              </w:rPr>
              <w:t>1年以下</w:t>
            </w:r>
            <w:r>
              <w:rPr>
                <w:rFonts w:hint="eastAsia" w:ascii="Times New Roman" w:hAnsi="Times New Roman" w:eastAsia="宋体" w:cs="Times New Roman"/>
                <w:color w:val="auto"/>
                <w:szCs w:val="20"/>
              </w:rPr>
              <w:t>，</w:t>
            </w:r>
            <w:r>
              <w:rPr>
                <w:rFonts w:hint="eastAsia" w:ascii="Times New Roman" w:hAnsi="Times New Roman" w:eastAsia="宋体" w:cs="Times New Roman"/>
                <w:color w:val="auto"/>
                <w:lang w:val="en-US" w:eastAsia="zh-CN"/>
              </w:rPr>
              <w:t>没有不良记录的。</w:t>
            </w:r>
            <w:r>
              <w:rPr>
                <w:rFonts w:hint="default" w:ascii="Times New Roman" w:hAnsi="Times New Roman" w:eastAsia="宋体" w:cs="Times New Roman"/>
                <w:color w:val="auto"/>
                <w:szCs w:val="21"/>
              </w:rPr>
              <w:t>（以合同复印件和中标书为准）</w:t>
            </w:r>
          </w:p>
          <w:p w14:paraId="7E974506">
            <w:pPr>
              <w:adjustRightInd w:val="0"/>
              <w:snapToGrid w:val="0"/>
              <w:spacing w:before="0" w:beforeAutospacing="0" w:after="0" w:afterAutospacing="0" w:line="340" w:lineRule="exact"/>
              <w:ind w:left="0" w:right="0" w:firstLine="440" w:firstLineChars="200"/>
              <w:rPr>
                <w:rFonts w:hint="default"/>
                <w:color w:val="auto"/>
                <w:lang w:val="en-US" w:eastAsia="zh-CN"/>
              </w:rPr>
            </w:pPr>
            <w:r>
              <w:rPr>
                <w:rFonts w:hint="eastAsia" w:ascii="Times New Roman" w:hAnsi="Times New Roman" w:cs="Times New Roman"/>
                <w:color w:val="auto"/>
                <w:lang w:val="en-US" w:eastAsia="zh-CN"/>
              </w:rPr>
              <w:t>没有的得0分。</w:t>
            </w:r>
          </w:p>
          <w:p w14:paraId="7EB4892A">
            <w:pPr>
              <w:pStyle w:val="11"/>
              <w:spacing w:before="0" w:beforeAutospacing="0" w:after="0" w:afterAutospacing="0"/>
              <w:ind w:left="0" w:right="0" w:firstLine="420" w:firstLineChars="200"/>
              <w:rPr>
                <w:rFonts w:hint="default"/>
                <w:color w:val="auto"/>
                <w:lang w:val="en-US" w:eastAsia="zh-CN"/>
              </w:rPr>
            </w:pPr>
            <w:r>
              <w:rPr>
                <w:rFonts w:hint="default" w:ascii="Times New Roman" w:hAnsi="Times New Roman" w:eastAsia="宋体" w:cs="Times New Roman"/>
                <w:color w:val="auto"/>
              </w:rPr>
              <w:t>未提供相应</w:t>
            </w:r>
            <w:r>
              <w:rPr>
                <w:rFonts w:hint="eastAsia" w:ascii="Times New Roman" w:hAnsi="Times New Roman" w:cs="Times New Roman"/>
                <w:color w:val="auto"/>
                <w:lang w:val="en-US" w:eastAsia="zh-CN"/>
              </w:rPr>
              <w:t>证明材料</w:t>
            </w:r>
            <w:r>
              <w:rPr>
                <w:rFonts w:hint="default" w:ascii="Times New Roman" w:hAnsi="Times New Roman" w:eastAsia="宋体" w:cs="Times New Roman"/>
                <w:color w:val="auto"/>
              </w:rPr>
              <w:t>的</w:t>
            </w:r>
            <w:r>
              <w:rPr>
                <w:rFonts w:hint="eastAsia" w:ascii="Times New Roman" w:hAnsi="Times New Roman" w:cs="Times New Roman"/>
                <w:color w:val="auto"/>
                <w:lang w:val="en-US" w:eastAsia="zh-CN"/>
              </w:rPr>
              <w:t>视同没有</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得0</w:t>
            </w:r>
            <w:r>
              <w:rPr>
                <w:rFonts w:hint="default" w:ascii="Times New Roman" w:hAnsi="Times New Roman" w:eastAsia="宋体" w:cs="Times New Roman"/>
                <w:color w:val="auto"/>
              </w:rPr>
              <w:t>分</w:t>
            </w:r>
            <w:r>
              <w:rPr>
                <w:rFonts w:hint="default" w:ascii="Times New Roman" w:hAnsi="Times New Roman" w:eastAsia="宋体" w:cs="Times New Roman"/>
                <w:color w:val="auto"/>
                <w:lang w:eastAsia="zh-CN"/>
              </w:rPr>
              <w:t>。</w:t>
            </w:r>
          </w:p>
        </w:tc>
      </w:tr>
    </w:tbl>
    <w:p w14:paraId="7A799D2F">
      <w:pPr>
        <w:keepNext w:val="0"/>
        <w:keepLines w:val="0"/>
        <w:pageBreakBefore w:val="0"/>
        <w:numPr>
          <w:ilvl w:val="-1"/>
          <w:numId w:val="0"/>
        </w:numPr>
        <w:kinsoku/>
        <w:wordWrap/>
        <w:overflowPunct/>
        <w:topLinePunct w:val="0"/>
        <w:autoSpaceDE/>
        <w:autoSpaceDN/>
        <w:bidi w:val="0"/>
        <w:adjustRightInd w:val="0"/>
        <w:snapToGrid w:val="0"/>
        <w:spacing w:line="320" w:lineRule="exact"/>
        <w:ind w:firstLine="442" w:firstLineChars="200"/>
        <w:textAlignment w:val="auto"/>
        <w:rPr>
          <w:rFonts w:hint="default" w:ascii="Calibri" w:hAnsi="Calibri" w:eastAsia="宋体" w:cs="Times New Roman"/>
          <w:b w:val="0"/>
          <w:bCs w:val="0"/>
          <w:color w:val="auto"/>
          <w:sz w:val="21"/>
          <w:szCs w:val="21"/>
          <w:lang w:val="en-US" w:eastAsia="zh-CN"/>
        </w:rPr>
      </w:pPr>
      <w:r>
        <w:rPr>
          <w:rFonts w:hint="eastAsia"/>
          <w:b/>
          <w:color w:val="auto"/>
          <w:szCs w:val="21"/>
          <w:lang w:val="en-US" w:eastAsia="zh-CN"/>
        </w:rPr>
        <w:t>三</w:t>
      </w:r>
      <w:r>
        <w:rPr>
          <w:rFonts w:hint="eastAsia"/>
          <w:b/>
          <w:color w:val="auto"/>
          <w:szCs w:val="21"/>
        </w:rPr>
        <w:t>、</w:t>
      </w:r>
      <w:r>
        <w:rPr>
          <w:rFonts w:hint="eastAsia"/>
          <w:b/>
          <w:color w:val="auto"/>
          <w:szCs w:val="21"/>
          <w:lang w:val="en-US" w:eastAsia="zh-CN"/>
        </w:rPr>
        <w:t>计分方法</w:t>
      </w:r>
    </w:p>
    <w:p w14:paraId="019E1DFC">
      <w:pPr>
        <w:keepNext w:val="0"/>
        <w:keepLines w:val="0"/>
        <w:pageBreakBefore w:val="0"/>
        <w:numPr>
          <w:ilvl w:val="-1"/>
          <w:numId w:val="0"/>
        </w:numPr>
        <w:kinsoku/>
        <w:wordWrap/>
        <w:overflowPunct/>
        <w:topLinePunct w:val="0"/>
        <w:autoSpaceDE/>
        <w:autoSpaceDN/>
        <w:bidi w:val="0"/>
        <w:adjustRightInd w:val="0"/>
        <w:snapToGrid w:val="0"/>
        <w:spacing w:line="320" w:lineRule="exact"/>
        <w:ind w:firstLine="420" w:firstLineChars="200"/>
        <w:textAlignment w:val="auto"/>
        <w:rPr>
          <w:rFonts w:hint="eastAsia" w:ascii="Calibri" w:hAnsi="Calibri" w:eastAsia="宋体" w:cs="Times New Roman"/>
          <w:b w:val="0"/>
          <w:bCs w:val="0"/>
          <w:color w:val="auto"/>
          <w:sz w:val="21"/>
          <w:szCs w:val="21"/>
          <w:lang w:val="en-US" w:eastAsia="zh-CN"/>
        </w:rPr>
      </w:pPr>
      <w:r>
        <w:rPr>
          <w:rFonts w:hint="eastAsia" w:ascii="Calibri" w:hAnsi="Calibri" w:eastAsia="宋体" w:cs="Times New Roman"/>
          <w:b w:val="0"/>
          <w:bCs w:val="0"/>
          <w:color w:val="auto"/>
          <w:sz w:val="21"/>
          <w:szCs w:val="21"/>
          <w:lang w:val="en-US" w:eastAsia="zh-CN"/>
        </w:rPr>
        <w:t>总分</w:t>
      </w:r>
      <w:r>
        <w:rPr>
          <w:rFonts w:hint="eastAsia" w:ascii="Calibri" w:hAnsi="Calibri" w:cs="Times New Roman"/>
          <w:b w:val="0"/>
          <w:bCs w:val="0"/>
          <w:color w:val="auto"/>
          <w:sz w:val="21"/>
          <w:szCs w:val="21"/>
          <w:lang w:val="en-US" w:eastAsia="zh-CN"/>
        </w:rPr>
        <w:t>值</w:t>
      </w:r>
      <w:r>
        <w:rPr>
          <w:rFonts w:hint="eastAsia" w:ascii="Calibri" w:hAnsi="Calibri" w:eastAsia="宋体" w:cs="Times New Roman"/>
          <w:b w:val="0"/>
          <w:bCs w:val="0"/>
          <w:color w:val="auto"/>
          <w:sz w:val="21"/>
          <w:szCs w:val="21"/>
          <w:lang w:val="en-US" w:eastAsia="zh-CN"/>
        </w:rPr>
        <w:t>=（一）+（二）+（三）</w:t>
      </w:r>
      <w:r>
        <w:rPr>
          <w:rFonts w:hint="eastAsia" w:ascii="Calibri" w:hAnsi="Calibri" w:cs="Times New Roman"/>
          <w:b w:val="0"/>
          <w:bCs w:val="0"/>
          <w:color w:val="auto"/>
          <w:sz w:val="21"/>
          <w:szCs w:val="21"/>
          <w:lang w:val="en-US" w:eastAsia="zh-CN"/>
        </w:rPr>
        <w:t>+（四）</w:t>
      </w:r>
    </w:p>
    <w:p w14:paraId="0E05FDF1">
      <w:pPr>
        <w:keepNext w:val="0"/>
        <w:keepLines w:val="0"/>
        <w:pageBreakBefore w:val="0"/>
        <w:kinsoku/>
        <w:wordWrap/>
        <w:overflowPunct/>
        <w:topLinePunct w:val="0"/>
        <w:autoSpaceDE w:val="0"/>
        <w:autoSpaceDN w:val="0"/>
        <w:bidi w:val="0"/>
        <w:adjustRightInd w:val="0"/>
        <w:spacing w:line="360" w:lineRule="auto"/>
        <w:jc w:val="left"/>
        <w:textAlignment w:val="auto"/>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 xml:space="preserve">    </w:t>
      </w:r>
      <w:r>
        <w:rPr>
          <w:rFonts w:hint="eastAsia" w:cs="宋体"/>
          <w:b/>
          <w:color w:val="auto"/>
          <w:kern w:val="0"/>
          <w:sz w:val="22"/>
          <w:szCs w:val="22"/>
          <w:highlight w:val="none"/>
          <w:lang w:val="en-US" w:eastAsia="zh-CN"/>
        </w:rPr>
        <w:t>四</w:t>
      </w:r>
      <w:r>
        <w:rPr>
          <w:rFonts w:hint="eastAsia" w:ascii="宋体" w:hAnsi="宋体" w:eastAsia="宋体" w:cs="宋体"/>
          <w:b/>
          <w:color w:val="auto"/>
          <w:kern w:val="0"/>
          <w:sz w:val="22"/>
          <w:szCs w:val="22"/>
          <w:highlight w:val="none"/>
        </w:rPr>
        <w:t>、成交候选人推荐原则</w:t>
      </w:r>
    </w:p>
    <w:p w14:paraId="46E782F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磋商小组将根据得分由高到低排列次序（得分相同时，以磋商报价由低到高顺序排列；得分相同且磋商报价相同的，按技术指标优劣顺序排列）并推荐三名成交候选供应商。采购单位应当确定磋商小组推荐排名第一的成交候选人为成交人。排名第一的成交候选人放弃成交、因不可抗力提出不能履行合同</w:t>
      </w:r>
      <w:r>
        <w:rPr>
          <w:rFonts w:hint="eastAsia" w:cs="宋体"/>
          <w:color w:val="auto"/>
          <w:kern w:val="0"/>
          <w:sz w:val="22"/>
          <w:szCs w:val="22"/>
          <w:highlight w:val="none"/>
          <w:lang w:eastAsia="zh-CN"/>
        </w:rPr>
        <w:t>的</w:t>
      </w:r>
      <w:r>
        <w:rPr>
          <w:rFonts w:hint="eastAsia" w:ascii="宋体" w:hAnsi="宋体" w:eastAsia="宋体" w:cs="宋体"/>
          <w:color w:val="auto"/>
          <w:kern w:val="0"/>
          <w:sz w:val="22"/>
          <w:szCs w:val="22"/>
          <w:highlight w:val="none"/>
        </w:rPr>
        <w:t>，采购单位可以确定排名第二的成交候选人为成交人。排名第二的成交候选人因前款规定的同样原因不能签订合同的，采购单位可以确定排名第三的成交候选人为成交人。</w:t>
      </w:r>
    </w:p>
    <w:p w14:paraId="31DB8E36">
      <w:pPr>
        <w:pStyle w:val="13"/>
        <w:tabs>
          <w:tab w:val="left" w:pos="5484"/>
        </w:tabs>
        <w:adjustRightInd w:val="0"/>
        <w:snapToGrid w:val="0"/>
        <w:spacing w:after="120" w:line="360" w:lineRule="auto"/>
        <w:ind w:firstLine="420" w:firstLineChars="200"/>
        <w:rPr>
          <w:rFonts w:hint="eastAsia" w:hAnsi="宋体" w:eastAsia="宋体" w:cs="宋体"/>
          <w:bCs/>
          <w:color w:val="auto"/>
          <w:sz w:val="21"/>
          <w:highlight w:val="none"/>
          <w:lang w:eastAsia="zh-CN"/>
        </w:rPr>
      </w:pPr>
      <w:r>
        <w:rPr>
          <w:rFonts w:hint="eastAsia" w:hAnsi="宋体" w:cs="宋体"/>
          <w:bCs/>
          <w:color w:val="auto"/>
          <w:sz w:val="21"/>
          <w:highlight w:val="none"/>
          <w:lang w:eastAsia="zh-CN"/>
        </w:rPr>
        <w:tab/>
      </w:r>
      <w:bookmarkStart w:id="55" w:name="_GoBack"/>
      <w:bookmarkEnd w:id="55"/>
    </w:p>
    <w:p w14:paraId="7BD6AA49">
      <w:pPr>
        <w:pStyle w:val="13"/>
        <w:adjustRightInd w:val="0"/>
        <w:snapToGrid w:val="0"/>
        <w:spacing w:after="120" w:line="360" w:lineRule="auto"/>
        <w:ind w:firstLine="420" w:firstLineChars="200"/>
        <w:rPr>
          <w:rFonts w:hAnsi="宋体" w:cs="宋体"/>
          <w:bCs/>
          <w:color w:val="auto"/>
          <w:sz w:val="21"/>
          <w:highlight w:val="none"/>
        </w:rPr>
      </w:pPr>
    </w:p>
    <w:sectPr>
      <w:headerReference r:id="rId10" w:type="default"/>
      <w:footerReference r:id="rId11" w:type="default"/>
      <w:pgSz w:w="11910" w:h="16840"/>
      <w:pgMar w:top="1219" w:right="1230" w:bottom="1242" w:left="1196" w:header="765" w:footer="79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E08CC91-1112-4D8A-87D6-68A08357E4E9}"/>
  </w:font>
  <w:font w:name="黑体">
    <w:panose1 w:val="02010609060101010101"/>
    <w:charset w:val="86"/>
    <w:family w:val="auto"/>
    <w:pitch w:val="default"/>
    <w:sig w:usb0="800002BF" w:usb1="38CF7CFA" w:usb2="00000016" w:usb3="00000000" w:csb0="00040001" w:csb1="00000000"/>
    <w:embedRegular r:id="rId2" w:fontKey="{E9B828E0-3162-41B5-92C9-3A318782FA12}"/>
  </w:font>
  <w:font w:name="Courier New">
    <w:panose1 w:val="02070309020205020404"/>
    <w:charset w:val="01"/>
    <w:family w:val="modern"/>
    <w:pitch w:val="default"/>
    <w:sig w:usb0="E0002AFF" w:usb1="C0007843" w:usb2="00000009" w:usb3="00000000" w:csb0="400001FF" w:csb1="FFFF0000"/>
    <w:embedRegular r:id="rId3" w:fontKey="{EE88684C-6ED6-4870-B7BF-5F67422AA69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A1A043E0-B9BA-49F6-8AFE-0E2BD2DDE0FD}"/>
  </w:font>
  <w:font w:name="仿宋_GB2312">
    <w:panose1 w:val="02010609030101010101"/>
    <w:charset w:val="86"/>
    <w:family w:val="auto"/>
    <w:pitch w:val="default"/>
    <w:sig w:usb0="00000001" w:usb1="080E0000" w:usb2="00000000" w:usb3="00000000" w:csb0="00040000" w:csb1="00000000"/>
    <w:embedRegular r:id="rId5" w:fontKey="{74D96913-8169-4096-A859-353B5B52DA1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embedRegular r:id="rId6" w:fontKey="{F9AC4FC8-2DC3-46CC-AB59-9B9784B5BEEB}"/>
  </w:font>
  <w:font w:name="方正小标宋简体">
    <w:panose1 w:val="03000509000000000000"/>
    <w:charset w:val="86"/>
    <w:family w:val="auto"/>
    <w:pitch w:val="default"/>
    <w:sig w:usb0="00000001" w:usb1="080E0000" w:usb2="00000000" w:usb3="00000000" w:csb0="00040000" w:csb1="00000000"/>
    <w:embedRegular r:id="rId7" w:fontKey="{239D35C8-7A69-4894-A052-6B6497737FDA}"/>
  </w:font>
  <w:font w:name="等线">
    <w:panose1 w:val="02010600030101010101"/>
    <w:charset w:val="86"/>
    <w:family w:val="auto"/>
    <w:pitch w:val="default"/>
    <w:sig w:usb0="A00002BF" w:usb1="38CF7CFA" w:usb2="00000016" w:usb3="00000000" w:csb0="0004000F" w:csb1="00000000"/>
    <w:embedRegular r:id="rId8" w:fontKey="{9F2293F9-A1CB-4C3E-819B-7C2BF0131C65}"/>
  </w:font>
  <w:font w:name="Arial Unicode MS">
    <w:altName w:val="宋体"/>
    <w:panose1 w:val="020B0604020202020204"/>
    <w:charset w:val="86"/>
    <w:family w:val="roman"/>
    <w:pitch w:val="default"/>
    <w:sig w:usb0="00000000" w:usb1="00000000" w:usb2="0000003F" w:usb3="00000000" w:csb0="603F01FF" w:csb1="FFFF0000"/>
    <w:embedRegular r:id="rId9" w:fontKey="{E4054929-504F-4147-8EE7-1E0627BA7895}"/>
  </w:font>
  <w:font w:name="仿宋">
    <w:panose1 w:val="02010609060101010101"/>
    <w:charset w:val="86"/>
    <w:family w:val="auto"/>
    <w:pitch w:val="default"/>
    <w:sig w:usb0="800002BF" w:usb1="38CF7CFA" w:usb2="00000016" w:usb3="00000000" w:csb0="00040001" w:csb1="00000000"/>
    <w:embedRegular r:id="rId10" w:fontKey="{3566157D-F134-4ECF-A2D3-7B50C2A86662}"/>
  </w:font>
  <w:font w:name="楷体_GB2312">
    <w:panose1 w:val="02010609030101010101"/>
    <w:charset w:val="86"/>
    <w:family w:val="auto"/>
    <w:pitch w:val="default"/>
    <w:sig w:usb0="00000001" w:usb1="080E0000" w:usb2="00000000" w:usb3="00000000" w:csb0="00040000" w:csb1="00000000"/>
    <w:embedRegular r:id="rId11" w:fontKey="{9D3500B0-2D26-4ED1-B846-8E97B4BF92AE}"/>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5A99A">
    <w:pPr>
      <w:pStyle w:val="15"/>
      <w:ind w:firstLine="5880" w:firstLineChars="2800"/>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17B44">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D3734">
                          <w:pPr>
                            <w:pStyle w:val="1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D5D3734">
                    <w:pPr>
                      <w:pStyle w:val="1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CCD7">
    <w:pPr>
      <w:pStyle w:val="15"/>
      <w:framePr w:wrap="around" w:vAnchor="text" w:hAnchor="margin" w:xAlign="center" w:y="1"/>
      <w:rPr>
        <w:rStyle w:val="28"/>
      </w:rPr>
    </w:pPr>
    <w:r>
      <w:fldChar w:fldCharType="begin"/>
    </w:r>
    <w:r>
      <w:rPr>
        <w:rStyle w:val="28"/>
      </w:rPr>
      <w:instrText xml:space="preserve">PAGE  </w:instrText>
    </w:r>
    <w:r>
      <w:fldChar w:fldCharType="end"/>
    </w:r>
  </w:p>
  <w:p w14:paraId="79DB3C3A">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DB56B">
    <w:pPr>
      <w:pStyle w:val="15"/>
      <w:ind w:firstLine="5040" w:firstLineChars="280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CB945">
                          <w:pPr>
                            <w:pStyle w:val="1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99CB945">
                    <w:pPr>
                      <w:pStyle w:val="1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A772">
    <w:pPr>
      <w:spacing w:line="176" w:lineRule="auto"/>
      <w:ind w:left="48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1D2A4">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41D2A4">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BC27">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752E7">
                          <w:pPr>
                            <w:pStyle w:val="1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1F752E7">
                    <w:pPr>
                      <w:pStyle w:val="15"/>
                    </w:pPr>
                    <w:r>
                      <w:fldChar w:fldCharType="begin"/>
                    </w:r>
                    <w:r>
                      <w:instrText xml:space="preserve"> PAGE  \* MERGEFORMAT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B51F">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4645">
    <w:pPr>
      <w:spacing w:before="18" w:line="227" w:lineRule="auto"/>
      <w:ind w:left="1622"/>
      <w:rPr>
        <w:rFonts w:ascii="宋体" w:hAnsi="宋体" w:eastAsia="宋体" w:cs="宋体"/>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DA815">
    <w:pPr>
      <w:pStyle w:val="17"/>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D1B5AF"/>
    <w:multiLevelType w:val="singleLevel"/>
    <w:tmpl w:val="D1D1B5AF"/>
    <w:lvl w:ilvl="0" w:tentative="0">
      <w:start w:val="9"/>
      <w:numFmt w:val="decimal"/>
      <w:suff w:val="space"/>
      <w:lvlText w:val="%1."/>
      <w:lvlJc w:val="left"/>
    </w:lvl>
  </w:abstractNum>
  <w:abstractNum w:abstractNumId="1">
    <w:nsid w:val="59B580C3"/>
    <w:multiLevelType w:val="singleLevel"/>
    <w:tmpl w:val="59B580C3"/>
    <w:lvl w:ilvl="0" w:tentative="0">
      <w:start w:val="3"/>
      <w:numFmt w:val="chineseCounting"/>
      <w:suff w:val="space"/>
      <w:lvlText w:val="第%1章"/>
      <w:lvlJc w:val="left"/>
      <w:rPr>
        <w:rFonts w:hint="eastAsia"/>
      </w:rPr>
    </w:lvl>
  </w:abstractNum>
  <w:abstractNum w:abstractNumId="2">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11" w:firstLine="0"/>
      </w:pPr>
      <w:rPr>
        <w:rFonts w:hint="eastAsia"/>
      </w:rPr>
    </w:lvl>
    <w:lvl w:ilvl="2" w:tentative="0">
      <w:start w:val="1"/>
      <w:numFmt w:val="chineseCountingThousand"/>
      <w:suff w:val="nothing"/>
      <w:lvlText w:val="(%3)"/>
      <w:lvlJc w:val="left"/>
      <w:pPr>
        <w:ind w:left="284" w:firstLine="0"/>
      </w:pPr>
      <w:rPr>
        <w:rFonts w:hint="eastAsia"/>
      </w:rPr>
    </w:lvl>
    <w:lvl w:ilvl="3" w:tentative="0">
      <w:start w:val="1"/>
      <w:numFmt w:val="decimal"/>
      <w:pStyle w:val="6"/>
      <w:suff w:val="nothing"/>
      <w:lvlText w:val="%4、"/>
      <w:lvlJc w:val="left"/>
      <w:pPr>
        <w:ind w:left="0" w:firstLine="0"/>
      </w:pPr>
      <w:rPr>
        <w:rFonts w:hint="eastAsia" w:ascii="宋体" w:hAnsi="宋体" w:eastAsia="宋体"/>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xYmZjODI0YTc4YTQwY2VmMjJhNDFjMzdhOGY0YjcifQ=="/>
    <w:docVar w:name="KSO_WPS_MARK_KEY" w:val="c63af280-0d67-411e-b4ed-320571860f6a"/>
  </w:docVars>
  <w:rsids>
    <w:rsidRoot w:val="254D164A"/>
    <w:rsid w:val="00001EF4"/>
    <w:rsid w:val="00006828"/>
    <w:rsid w:val="00021731"/>
    <w:rsid w:val="000466A0"/>
    <w:rsid w:val="00046D96"/>
    <w:rsid w:val="000800C5"/>
    <w:rsid w:val="000862AF"/>
    <w:rsid w:val="000942B7"/>
    <w:rsid w:val="000D29F0"/>
    <w:rsid w:val="000F62D1"/>
    <w:rsid w:val="00103897"/>
    <w:rsid w:val="00120AB0"/>
    <w:rsid w:val="00157A71"/>
    <w:rsid w:val="001D3A17"/>
    <w:rsid w:val="001E320E"/>
    <w:rsid w:val="00222978"/>
    <w:rsid w:val="00254134"/>
    <w:rsid w:val="00276583"/>
    <w:rsid w:val="00291914"/>
    <w:rsid w:val="00292F01"/>
    <w:rsid w:val="002A770E"/>
    <w:rsid w:val="002B0893"/>
    <w:rsid w:val="003279E9"/>
    <w:rsid w:val="003420E2"/>
    <w:rsid w:val="003705D5"/>
    <w:rsid w:val="003B13DD"/>
    <w:rsid w:val="003C4F0F"/>
    <w:rsid w:val="003F715A"/>
    <w:rsid w:val="00402941"/>
    <w:rsid w:val="00491CB0"/>
    <w:rsid w:val="004A08B6"/>
    <w:rsid w:val="004A444E"/>
    <w:rsid w:val="00511A9F"/>
    <w:rsid w:val="00565410"/>
    <w:rsid w:val="00581B9B"/>
    <w:rsid w:val="005E6543"/>
    <w:rsid w:val="00624A4A"/>
    <w:rsid w:val="006654FA"/>
    <w:rsid w:val="00665BAD"/>
    <w:rsid w:val="00714C9B"/>
    <w:rsid w:val="007648A9"/>
    <w:rsid w:val="00786D59"/>
    <w:rsid w:val="007A1710"/>
    <w:rsid w:val="007B16E7"/>
    <w:rsid w:val="008065AF"/>
    <w:rsid w:val="00806B4A"/>
    <w:rsid w:val="008076A3"/>
    <w:rsid w:val="00820662"/>
    <w:rsid w:val="0082529D"/>
    <w:rsid w:val="00862009"/>
    <w:rsid w:val="008E4805"/>
    <w:rsid w:val="009358D9"/>
    <w:rsid w:val="00936FB5"/>
    <w:rsid w:val="00967772"/>
    <w:rsid w:val="00A10993"/>
    <w:rsid w:val="00A1659E"/>
    <w:rsid w:val="00A6014D"/>
    <w:rsid w:val="00A60C36"/>
    <w:rsid w:val="00A636FE"/>
    <w:rsid w:val="00A66623"/>
    <w:rsid w:val="00A7091B"/>
    <w:rsid w:val="00A92992"/>
    <w:rsid w:val="00AB3C65"/>
    <w:rsid w:val="00AD558A"/>
    <w:rsid w:val="00AD5B83"/>
    <w:rsid w:val="00B26B9D"/>
    <w:rsid w:val="00B66699"/>
    <w:rsid w:val="00B805D6"/>
    <w:rsid w:val="00B83890"/>
    <w:rsid w:val="00B9238C"/>
    <w:rsid w:val="00B93F2F"/>
    <w:rsid w:val="00BA5765"/>
    <w:rsid w:val="00BF0E19"/>
    <w:rsid w:val="00C24A86"/>
    <w:rsid w:val="00C32863"/>
    <w:rsid w:val="00C75127"/>
    <w:rsid w:val="00C80958"/>
    <w:rsid w:val="00CC7F3F"/>
    <w:rsid w:val="00CD4C05"/>
    <w:rsid w:val="00CD5357"/>
    <w:rsid w:val="00CF1E56"/>
    <w:rsid w:val="00D24AE6"/>
    <w:rsid w:val="00DD771C"/>
    <w:rsid w:val="00E0770D"/>
    <w:rsid w:val="00E163B3"/>
    <w:rsid w:val="00E453FF"/>
    <w:rsid w:val="00E66229"/>
    <w:rsid w:val="00EC54D0"/>
    <w:rsid w:val="00ED5B25"/>
    <w:rsid w:val="00F04316"/>
    <w:rsid w:val="00F17195"/>
    <w:rsid w:val="00F22441"/>
    <w:rsid w:val="00F4517E"/>
    <w:rsid w:val="00F63441"/>
    <w:rsid w:val="00F813FD"/>
    <w:rsid w:val="00F8328E"/>
    <w:rsid w:val="00FE53A2"/>
    <w:rsid w:val="01154EDD"/>
    <w:rsid w:val="01255120"/>
    <w:rsid w:val="013B0DE8"/>
    <w:rsid w:val="01915BB5"/>
    <w:rsid w:val="0194674A"/>
    <w:rsid w:val="01C52037"/>
    <w:rsid w:val="01C86724"/>
    <w:rsid w:val="01CA216C"/>
    <w:rsid w:val="01D134FA"/>
    <w:rsid w:val="01D31020"/>
    <w:rsid w:val="01EE19B6"/>
    <w:rsid w:val="02254D58"/>
    <w:rsid w:val="02257D31"/>
    <w:rsid w:val="02316BAA"/>
    <w:rsid w:val="02587777"/>
    <w:rsid w:val="02713C9A"/>
    <w:rsid w:val="02A23A3C"/>
    <w:rsid w:val="02B524D4"/>
    <w:rsid w:val="02D1517A"/>
    <w:rsid w:val="02D7069C"/>
    <w:rsid w:val="030B2A3C"/>
    <w:rsid w:val="033B50CF"/>
    <w:rsid w:val="03607E3C"/>
    <w:rsid w:val="03710AF1"/>
    <w:rsid w:val="03763F48"/>
    <w:rsid w:val="03DE6E38"/>
    <w:rsid w:val="03F531F0"/>
    <w:rsid w:val="0410030A"/>
    <w:rsid w:val="041E4CD6"/>
    <w:rsid w:val="04266264"/>
    <w:rsid w:val="044E0E32"/>
    <w:rsid w:val="046B7D6F"/>
    <w:rsid w:val="0475641B"/>
    <w:rsid w:val="047A39D5"/>
    <w:rsid w:val="04AF64BA"/>
    <w:rsid w:val="04C435F5"/>
    <w:rsid w:val="04E92909"/>
    <w:rsid w:val="0506624B"/>
    <w:rsid w:val="05243941"/>
    <w:rsid w:val="054B55D0"/>
    <w:rsid w:val="056B1570"/>
    <w:rsid w:val="05720B50"/>
    <w:rsid w:val="05792ABE"/>
    <w:rsid w:val="05AA690C"/>
    <w:rsid w:val="05C15EAF"/>
    <w:rsid w:val="05D830A9"/>
    <w:rsid w:val="05EA06E6"/>
    <w:rsid w:val="061A40B5"/>
    <w:rsid w:val="061B1499"/>
    <w:rsid w:val="06540256"/>
    <w:rsid w:val="065D710A"/>
    <w:rsid w:val="0667442D"/>
    <w:rsid w:val="06A707AD"/>
    <w:rsid w:val="06AF73FF"/>
    <w:rsid w:val="06D54FB4"/>
    <w:rsid w:val="06E415DA"/>
    <w:rsid w:val="073C31C4"/>
    <w:rsid w:val="075A189C"/>
    <w:rsid w:val="07655E11"/>
    <w:rsid w:val="07721397"/>
    <w:rsid w:val="0772240A"/>
    <w:rsid w:val="077741FC"/>
    <w:rsid w:val="07A11279"/>
    <w:rsid w:val="07D71108"/>
    <w:rsid w:val="07E15B19"/>
    <w:rsid w:val="07E55609"/>
    <w:rsid w:val="080041F1"/>
    <w:rsid w:val="080470D0"/>
    <w:rsid w:val="08251EAA"/>
    <w:rsid w:val="083326DA"/>
    <w:rsid w:val="08386081"/>
    <w:rsid w:val="08687FE8"/>
    <w:rsid w:val="08836BD0"/>
    <w:rsid w:val="08BD0334"/>
    <w:rsid w:val="08D0711B"/>
    <w:rsid w:val="08F57ACE"/>
    <w:rsid w:val="090B5543"/>
    <w:rsid w:val="090D5A51"/>
    <w:rsid w:val="09336848"/>
    <w:rsid w:val="093C048F"/>
    <w:rsid w:val="095C7B4D"/>
    <w:rsid w:val="09804F69"/>
    <w:rsid w:val="098B1145"/>
    <w:rsid w:val="09B76D64"/>
    <w:rsid w:val="09DE265F"/>
    <w:rsid w:val="09F71624"/>
    <w:rsid w:val="0A2E3A8C"/>
    <w:rsid w:val="0A3E54A5"/>
    <w:rsid w:val="0A424F95"/>
    <w:rsid w:val="0A613847"/>
    <w:rsid w:val="0A7C327C"/>
    <w:rsid w:val="0A880AC2"/>
    <w:rsid w:val="0AD35BED"/>
    <w:rsid w:val="0AFA761E"/>
    <w:rsid w:val="0B0B4E6B"/>
    <w:rsid w:val="0B105140"/>
    <w:rsid w:val="0B36617C"/>
    <w:rsid w:val="0B757DF3"/>
    <w:rsid w:val="0B7D4115"/>
    <w:rsid w:val="0BA47589"/>
    <w:rsid w:val="0BA719B4"/>
    <w:rsid w:val="0BAF787E"/>
    <w:rsid w:val="0BB05F2E"/>
    <w:rsid w:val="0BC778D9"/>
    <w:rsid w:val="0BD7170D"/>
    <w:rsid w:val="0C012C2E"/>
    <w:rsid w:val="0C030754"/>
    <w:rsid w:val="0CAA26D6"/>
    <w:rsid w:val="0CAF390A"/>
    <w:rsid w:val="0CB35CD6"/>
    <w:rsid w:val="0CE92DBD"/>
    <w:rsid w:val="0CEE4F60"/>
    <w:rsid w:val="0CF63E15"/>
    <w:rsid w:val="0D2C5A88"/>
    <w:rsid w:val="0D3A63F7"/>
    <w:rsid w:val="0D5A7D54"/>
    <w:rsid w:val="0D617228"/>
    <w:rsid w:val="0D772AF1"/>
    <w:rsid w:val="0D832544"/>
    <w:rsid w:val="0D8C6527"/>
    <w:rsid w:val="0D9B051A"/>
    <w:rsid w:val="0DC12675"/>
    <w:rsid w:val="0DF76096"/>
    <w:rsid w:val="0DFE7425"/>
    <w:rsid w:val="0E217397"/>
    <w:rsid w:val="0E4C4E14"/>
    <w:rsid w:val="0E5E7EC3"/>
    <w:rsid w:val="0E8273EF"/>
    <w:rsid w:val="0E910299"/>
    <w:rsid w:val="0E9E6512"/>
    <w:rsid w:val="0EA7186A"/>
    <w:rsid w:val="0EAC6ECE"/>
    <w:rsid w:val="0ECC6E51"/>
    <w:rsid w:val="0EE06B2A"/>
    <w:rsid w:val="0EEA037E"/>
    <w:rsid w:val="0EF24286"/>
    <w:rsid w:val="0EF5276A"/>
    <w:rsid w:val="0EF63241"/>
    <w:rsid w:val="0F0071CD"/>
    <w:rsid w:val="0F113188"/>
    <w:rsid w:val="0F362BEE"/>
    <w:rsid w:val="0F4075C9"/>
    <w:rsid w:val="0F4225E2"/>
    <w:rsid w:val="0F563291"/>
    <w:rsid w:val="0F5B4403"/>
    <w:rsid w:val="0F7172C3"/>
    <w:rsid w:val="0F8A6A96"/>
    <w:rsid w:val="0FA062BA"/>
    <w:rsid w:val="0FB57FB7"/>
    <w:rsid w:val="0FDD12BC"/>
    <w:rsid w:val="10046849"/>
    <w:rsid w:val="100625C1"/>
    <w:rsid w:val="10162510"/>
    <w:rsid w:val="1017657C"/>
    <w:rsid w:val="10392996"/>
    <w:rsid w:val="1043060F"/>
    <w:rsid w:val="10545A22"/>
    <w:rsid w:val="10606175"/>
    <w:rsid w:val="10A0074C"/>
    <w:rsid w:val="10A73DA4"/>
    <w:rsid w:val="10C65BD4"/>
    <w:rsid w:val="10E01064"/>
    <w:rsid w:val="10EF2E3D"/>
    <w:rsid w:val="10F01483"/>
    <w:rsid w:val="10F92125"/>
    <w:rsid w:val="111725AC"/>
    <w:rsid w:val="1122342A"/>
    <w:rsid w:val="112F0300"/>
    <w:rsid w:val="113057E3"/>
    <w:rsid w:val="11344A3E"/>
    <w:rsid w:val="113B2BFA"/>
    <w:rsid w:val="11454676"/>
    <w:rsid w:val="116A45A1"/>
    <w:rsid w:val="119875D6"/>
    <w:rsid w:val="11A15D7C"/>
    <w:rsid w:val="11C01D6F"/>
    <w:rsid w:val="11C75D80"/>
    <w:rsid w:val="11D5475E"/>
    <w:rsid w:val="11D81D3B"/>
    <w:rsid w:val="11E42DD6"/>
    <w:rsid w:val="11E43729"/>
    <w:rsid w:val="12011CD8"/>
    <w:rsid w:val="12045226"/>
    <w:rsid w:val="12046FD4"/>
    <w:rsid w:val="121C60CC"/>
    <w:rsid w:val="1249325E"/>
    <w:rsid w:val="124F62EA"/>
    <w:rsid w:val="125D5B0B"/>
    <w:rsid w:val="12647A72"/>
    <w:rsid w:val="12C55215"/>
    <w:rsid w:val="12CA1B27"/>
    <w:rsid w:val="12D6271E"/>
    <w:rsid w:val="12E070F9"/>
    <w:rsid w:val="12ED7A68"/>
    <w:rsid w:val="1303728B"/>
    <w:rsid w:val="130A686C"/>
    <w:rsid w:val="13390EFF"/>
    <w:rsid w:val="133A584A"/>
    <w:rsid w:val="136C60FB"/>
    <w:rsid w:val="137F3501"/>
    <w:rsid w:val="13912AE9"/>
    <w:rsid w:val="13946135"/>
    <w:rsid w:val="13AB5FB3"/>
    <w:rsid w:val="13BD43F5"/>
    <w:rsid w:val="141F6347"/>
    <w:rsid w:val="14273093"/>
    <w:rsid w:val="14504752"/>
    <w:rsid w:val="14975EDD"/>
    <w:rsid w:val="149A59CD"/>
    <w:rsid w:val="14B06F9F"/>
    <w:rsid w:val="14B922F8"/>
    <w:rsid w:val="14EF0F4F"/>
    <w:rsid w:val="153450AA"/>
    <w:rsid w:val="155325DE"/>
    <w:rsid w:val="155D109A"/>
    <w:rsid w:val="15804BC3"/>
    <w:rsid w:val="159927CF"/>
    <w:rsid w:val="15A9411A"/>
    <w:rsid w:val="15B825AF"/>
    <w:rsid w:val="15DA5060"/>
    <w:rsid w:val="15E45152"/>
    <w:rsid w:val="15EA64E1"/>
    <w:rsid w:val="15EC4007"/>
    <w:rsid w:val="160248BB"/>
    <w:rsid w:val="160550C9"/>
    <w:rsid w:val="16184DFC"/>
    <w:rsid w:val="161D2412"/>
    <w:rsid w:val="162B0FD3"/>
    <w:rsid w:val="16504596"/>
    <w:rsid w:val="16634E92"/>
    <w:rsid w:val="16976668"/>
    <w:rsid w:val="169F376F"/>
    <w:rsid w:val="16B815F7"/>
    <w:rsid w:val="16BA7205"/>
    <w:rsid w:val="16BC7E7D"/>
    <w:rsid w:val="16BE1E47"/>
    <w:rsid w:val="16E72AA1"/>
    <w:rsid w:val="16EA2C3C"/>
    <w:rsid w:val="16FB2570"/>
    <w:rsid w:val="16FC57EC"/>
    <w:rsid w:val="171603A5"/>
    <w:rsid w:val="17163A31"/>
    <w:rsid w:val="171A4BA4"/>
    <w:rsid w:val="171F21BA"/>
    <w:rsid w:val="174003C4"/>
    <w:rsid w:val="17BA0860"/>
    <w:rsid w:val="17BD58AC"/>
    <w:rsid w:val="17CF7371"/>
    <w:rsid w:val="17DA505A"/>
    <w:rsid w:val="17E45E1E"/>
    <w:rsid w:val="18084237"/>
    <w:rsid w:val="184B22C0"/>
    <w:rsid w:val="18512847"/>
    <w:rsid w:val="1853036D"/>
    <w:rsid w:val="185F402D"/>
    <w:rsid w:val="1869193F"/>
    <w:rsid w:val="188448D6"/>
    <w:rsid w:val="188F1E88"/>
    <w:rsid w:val="18A87BA8"/>
    <w:rsid w:val="18C33745"/>
    <w:rsid w:val="18F002B2"/>
    <w:rsid w:val="191065C7"/>
    <w:rsid w:val="19265A82"/>
    <w:rsid w:val="19564A63"/>
    <w:rsid w:val="19706CFD"/>
    <w:rsid w:val="19793E03"/>
    <w:rsid w:val="19832ED4"/>
    <w:rsid w:val="198C6945"/>
    <w:rsid w:val="199A430E"/>
    <w:rsid w:val="199B6470"/>
    <w:rsid w:val="199C5D44"/>
    <w:rsid w:val="199E7D0E"/>
    <w:rsid w:val="19DE2475"/>
    <w:rsid w:val="1A2F0966"/>
    <w:rsid w:val="1A3F6DFB"/>
    <w:rsid w:val="1A424B3D"/>
    <w:rsid w:val="1A4C59BC"/>
    <w:rsid w:val="1A5A7788"/>
    <w:rsid w:val="1A600FE9"/>
    <w:rsid w:val="1A8C6C43"/>
    <w:rsid w:val="1A930EF5"/>
    <w:rsid w:val="1ABA0B77"/>
    <w:rsid w:val="1AFC2F3E"/>
    <w:rsid w:val="1AFE7548"/>
    <w:rsid w:val="1B09095E"/>
    <w:rsid w:val="1B1852D5"/>
    <w:rsid w:val="1B353396"/>
    <w:rsid w:val="1B4A0EB8"/>
    <w:rsid w:val="1B673D60"/>
    <w:rsid w:val="1B8006D6"/>
    <w:rsid w:val="1BD53E0C"/>
    <w:rsid w:val="1BF23EA1"/>
    <w:rsid w:val="1C07463C"/>
    <w:rsid w:val="1C200EAE"/>
    <w:rsid w:val="1C275D99"/>
    <w:rsid w:val="1C332C8E"/>
    <w:rsid w:val="1C444B9D"/>
    <w:rsid w:val="1C56667E"/>
    <w:rsid w:val="1C766D20"/>
    <w:rsid w:val="1C7D1E5D"/>
    <w:rsid w:val="1C9553F8"/>
    <w:rsid w:val="1C9D0939"/>
    <w:rsid w:val="1CCC4B92"/>
    <w:rsid w:val="1CE41EDC"/>
    <w:rsid w:val="1CF007E3"/>
    <w:rsid w:val="1D0D31E0"/>
    <w:rsid w:val="1D9516EC"/>
    <w:rsid w:val="1DA44F60"/>
    <w:rsid w:val="1DC13FCB"/>
    <w:rsid w:val="1DC415BC"/>
    <w:rsid w:val="1DC553F5"/>
    <w:rsid w:val="1DF8613F"/>
    <w:rsid w:val="1DFD601A"/>
    <w:rsid w:val="1E032835"/>
    <w:rsid w:val="1E4E6537"/>
    <w:rsid w:val="1E8A260F"/>
    <w:rsid w:val="1E9000C5"/>
    <w:rsid w:val="1EBD0C36"/>
    <w:rsid w:val="1EC73863"/>
    <w:rsid w:val="1EE7180F"/>
    <w:rsid w:val="1EEC32CA"/>
    <w:rsid w:val="1F5D7D23"/>
    <w:rsid w:val="1F622A50"/>
    <w:rsid w:val="1F6E1F30"/>
    <w:rsid w:val="1FC81641"/>
    <w:rsid w:val="1FCB2EDF"/>
    <w:rsid w:val="1FCD13A2"/>
    <w:rsid w:val="1FD04090"/>
    <w:rsid w:val="1FD63DDA"/>
    <w:rsid w:val="20014B53"/>
    <w:rsid w:val="20016A68"/>
    <w:rsid w:val="200D34F7"/>
    <w:rsid w:val="203B0065"/>
    <w:rsid w:val="204161EC"/>
    <w:rsid w:val="2057365A"/>
    <w:rsid w:val="207173F3"/>
    <w:rsid w:val="208F6602"/>
    <w:rsid w:val="20A420AE"/>
    <w:rsid w:val="20AA6F98"/>
    <w:rsid w:val="20B56069"/>
    <w:rsid w:val="21154D5A"/>
    <w:rsid w:val="212C4FCB"/>
    <w:rsid w:val="212E7BC9"/>
    <w:rsid w:val="213D605E"/>
    <w:rsid w:val="217F467C"/>
    <w:rsid w:val="21823A71"/>
    <w:rsid w:val="21980FEA"/>
    <w:rsid w:val="219F0AC7"/>
    <w:rsid w:val="21A165ED"/>
    <w:rsid w:val="21A82EED"/>
    <w:rsid w:val="21C479FF"/>
    <w:rsid w:val="21CB18BC"/>
    <w:rsid w:val="21E93356"/>
    <w:rsid w:val="21FF50C2"/>
    <w:rsid w:val="222A54B6"/>
    <w:rsid w:val="222D1C2F"/>
    <w:rsid w:val="22456F79"/>
    <w:rsid w:val="22480BB9"/>
    <w:rsid w:val="22482F0D"/>
    <w:rsid w:val="22552F34"/>
    <w:rsid w:val="225D0766"/>
    <w:rsid w:val="22635651"/>
    <w:rsid w:val="226F2247"/>
    <w:rsid w:val="22B8599C"/>
    <w:rsid w:val="22E569AE"/>
    <w:rsid w:val="23097312"/>
    <w:rsid w:val="230F6D57"/>
    <w:rsid w:val="23700BDB"/>
    <w:rsid w:val="239F69B4"/>
    <w:rsid w:val="23D2587F"/>
    <w:rsid w:val="23DE5BD3"/>
    <w:rsid w:val="23E629DD"/>
    <w:rsid w:val="23EE23B8"/>
    <w:rsid w:val="240C1517"/>
    <w:rsid w:val="241E3F25"/>
    <w:rsid w:val="24373239"/>
    <w:rsid w:val="248F097F"/>
    <w:rsid w:val="2492221D"/>
    <w:rsid w:val="24DF4095"/>
    <w:rsid w:val="250824DF"/>
    <w:rsid w:val="2509777E"/>
    <w:rsid w:val="250A0D6D"/>
    <w:rsid w:val="25357778"/>
    <w:rsid w:val="254D164A"/>
    <w:rsid w:val="25626093"/>
    <w:rsid w:val="257A33DD"/>
    <w:rsid w:val="25C1725E"/>
    <w:rsid w:val="25D52D09"/>
    <w:rsid w:val="25DF7314"/>
    <w:rsid w:val="2610789E"/>
    <w:rsid w:val="262F241A"/>
    <w:rsid w:val="26325A66"/>
    <w:rsid w:val="26536BBE"/>
    <w:rsid w:val="266E0BA1"/>
    <w:rsid w:val="268F4C66"/>
    <w:rsid w:val="26900C6A"/>
    <w:rsid w:val="26F1147D"/>
    <w:rsid w:val="26F37C9F"/>
    <w:rsid w:val="27210127"/>
    <w:rsid w:val="275814FC"/>
    <w:rsid w:val="278517DF"/>
    <w:rsid w:val="27863045"/>
    <w:rsid w:val="27DA506F"/>
    <w:rsid w:val="27EC7E96"/>
    <w:rsid w:val="27F951EE"/>
    <w:rsid w:val="28096C9A"/>
    <w:rsid w:val="28213FE4"/>
    <w:rsid w:val="283A50A6"/>
    <w:rsid w:val="284C276A"/>
    <w:rsid w:val="28A075FF"/>
    <w:rsid w:val="28B46C06"/>
    <w:rsid w:val="28B64E9A"/>
    <w:rsid w:val="28D75FD5"/>
    <w:rsid w:val="28DF17A9"/>
    <w:rsid w:val="28F72F97"/>
    <w:rsid w:val="2915716C"/>
    <w:rsid w:val="292D7C91"/>
    <w:rsid w:val="2932274B"/>
    <w:rsid w:val="29671ECA"/>
    <w:rsid w:val="297E7214"/>
    <w:rsid w:val="29803510"/>
    <w:rsid w:val="29897672"/>
    <w:rsid w:val="29D03FAA"/>
    <w:rsid w:val="29E90B31"/>
    <w:rsid w:val="29EA5686"/>
    <w:rsid w:val="2A4753E5"/>
    <w:rsid w:val="2A55087C"/>
    <w:rsid w:val="2A697EC4"/>
    <w:rsid w:val="2A88659C"/>
    <w:rsid w:val="2A9926AB"/>
    <w:rsid w:val="2AD96DF8"/>
    <w:rsid w:val="2B1B1859"/>
    <w:rsid w:val="2B277B63"/>
    <w:rsid w:val="2B397896"/>
    <w:rsid w:val="2B4D1B7A"/>
    <w:rsid w:val="2B585F6F"/>
    <w:rsid w:val="2B6E2610"/>
    <w:rsid w:val="2B702172"/>
    <w:rsid w:val="2B710DDE"/>
    <w:rsid w:val="2B9176D3"/>
    <w:rsid w:val="2BB05DAB"/>
    <w:rsid w:val="2BB33A31"/>
    <w:rsid w:val="2BB62D59"/>
    <w:rsid w:val="2BB86A0D"/>
    <w:rsid w:val="2BC2788C"/>
    <w:rsid w:val="2BDD3B36"/>
    <w:rsid w:val="2BF30AC7"/>
    <w:rsid w:val="2C0C3A8E"/>
    <w:rsid w:val="2C1D33B9"/>
    <w:rsid w:val="2C5F332D"/>
    <w:rsid w:val="2C8B41B2"/>
    <w:rsid w:val="2CB05936"/>
    <w:rsid w:val="2CBC252D"/>
    <w:rsid w:val="2CC038DA"/>
    <w:rsid w:val="2CEDAA65"/>
    <w:rsid w:val="2CFF1B20"/>
    <w:rsid w:val="2D085772"/>
    <w:rsid w:val="2D087520"/>
    <w:rsid w:val="2D1D5958"/>
    <w:rsid w:val="2D2735B2"/>
    <w:rsid w:val="2D5E5392"/>
    <w:rsid w:val="2D652BC5"/>
    <w:rsid w:val="2DB46A8B"/>
    <w:rsid w:val="2DBB27E5"/>
    <w:rsid w:val="2DCA2A28"/>
    <w:rsid w:val="2DE955A4"/>
    <w:rsid w:val="2E013ED3"/>
    <w:rsid w:val="2E0B0E10"/>
    <w:rsid w:val="2E0B51F1"/>
    <w:rsid w:val="2E103F6A"/>
    <w:rsid w:val="2E150147"/>
    <w:rsid w:val="2E15765A"/>
    <w:rsid w:val="2E166E98"/>
    <w:rsid w:val="2E1A39AF"/>
    <w:rsid w:val="2E291E44"/>
    <w:rsid w:val="2E2A25E3"/>
    <w:rsid w:val="2E76495E"/>
    <w:rsid w:val="2EA63495"/>
    <w:rsid w:val="2EB3170E"/>
    <w:rsid w:val="2EC17D2F"/>
    <w:rsid w:val="2EC21951"/>
    <w:rsid w:val="2ECF6C86"/>
    <w:rsid w:val="2EDC6EB7"/>
    <w:rsid w:val="2F4155E8"/>
    <w:rsid w:val="2F441492"/>
    <w:rsid w:val="2F565FF8"/>
    <w:rsid w:val="2F670FF2"/>
    <w:rsid w:val="2F800C3D"/>
    <w:rsid w:val="2FAD43AF"/>
    <w:rsid w:val="2FB14CFB"/>
    <w:rsid w:val="2FB63264"/>
    <w:rsid w:val="2FD61CD4"/>
    <w:rsid w:val="2FD7142C"/>
    <w:rsid w:val="2FDB0F1C"/>
    <w:rsid w:val="2FE076BB"/>
    <w:rsid w:val="2FE970DD"/>
    <w:rsid w:val="2FFF5194"/>
    <w:rsid w:val="300246FB"/>
    <w:rsid w:val="302503E9"/>
    <w:rsid w:val="302B2A54"/>
    <w:rsid w:val="30823A8E"/>
    <w:rsid w:val="3082583C"/>
    <w:rsid w:val="30AE28C5"/>
    <w:rsid w:val="30F2751C"/>
    <w:rsid w:val="30F57DBC"/>
    <w:rsid w:val="30FC114A"/>
    <w:rsid w:val="311A3B4C"/>
    <w:rsid w:val="3135465C"/>
    <w:rsid w:val="314B20D2"/>
    <w:rsid w:val="314C2FDB"/>
    <w:rsid w:val="314E0D97"/>
    <w:rsid w:val="315F16D9"/>
    <w:rsid w:val="31716A86"/>
    <w:rsid w:val="317835D9"/>
    <w:rsid w:val="317C672F"/>
    <w:rsid w:val="318716E9"/>
    <w:rsid w:val="319B41F1"/>
    <w:rsid w:val="319C46DB"/>
    <w:rsid w:val="319E48F7"/>
    <w:rsid w:val="31A17F44"/>
    <w:rsid w:val="31D75713"/>
    <w:rsid w:val="31F97D80"/>
    <w:rsid w:val="322C1F03"/>
    <w:rsid w:val="322D17D7"/>
    <w:rsid w:val="3234700A"/>
    <w:rsid w:val="323B7999"/>
    <w:rsid w:val="325A59CA"/>
    <w:rsid w:val="328442D4"/>
    <w:rsid w:val="32867865"/>
    <w:rsid w:val="328F5FEE"/>
    <w:rsid w:val="32A36EBC"/>
    <w:rsid w:val="32D144D6"/>
    <w:rsid w:val="32D14858"/>
    <w:rsid w:val="32DB6EF6"/>
    <w:rsid w:val="32E77BD8"/>
    <w:rsid w:val="33096B60"/>
    <w:rsid w:val="331049E5"/>
    <w:rsid w:val="33346B13"/>
    <w:rsid w:val="33357DE0"/>
    <w:rsid w:val="33595FB4"/>
    <w:rsid w:val="336C62ED"/>
    <w:rsid w:val="33BA709B"/>
    <w:rsid w:val="33CE0E44"/>
    <w:rsid w:val="33E34843"/>
    <w:rsid w:val="34076784"/>
    <w:rsid w:val="340B78F6"/>
    <w:rsid w:val="342E4402"/>
    <w:rsid w:val="3439335E"/>
    <w:rsid w:val="344254F0"/>
    <w:rsid w:val="345C0DED"/>
    <w:rsid w:val="348576A9"/>
    <w:rsid w:val="348A5199"/>
    <w:rsid w:val="34953911"/>
    <w:rsid w:val="3505008B"/>
    <w:rsid w:val="35843E04"/>
    <w:rsid w:val="35956011"/>
    <w:rsid w:val="35AD5109"/>
    <w:rsid w:val="35B00755"/>
    <w:rsid w:val="35BF2026"/>
    <w:rsid w:val="35D73F34"/>
    <w:rsid w:val="360F1920"/>
    <w:rsid w:val="3634763B"/>
    <w:rsid w:val="3643781B"/>
    <w:rsid w:val="365D0BBE"/>
    <w:rsid w:val="365D6B2F"/>
    <w:rsid w:val="3676374D"/>
    <w:rsid w:val="3691162E"/>
    <w:rsid w:val="36961E1C"/>
    <w:rsid w:val="36C57603"/>
    <w:rsid w:val="36C97D20"/>
    <w:rsid w:val="36CF7301"/>
    <w:rsid w:val="36EE4B2C"/>
    <w:rsid w:val="36FB00F6"/>
    <w:rsid w:val="37030539"/>
    <w:rsid w:val="373F4487"/>
    <w:rsid w:val="374750E9"/>
    <w:rsid w:val="374970B3"/>
    <w:rsid w:val="376E2676"/>
    <w:rsid w:val="37BF479B"/>
    <w:rsid w:val="37DD15AA"/>
    <w:rsid w:val="37E76762"/>
    <w:rsid w:val="37ED7A3F"/>
    <w:rsid w:val="37EF7FD8"/>
    <w:rsid w:val="37F45271"/>
    <w:rsid w:val="383334E4"/>
    <w:rsid w:val="38787C50"/>
    <w:rsid w:val="387E2D8D"/>
    <w:rsid w:val="38814CBB"/>
    <w:rsid w:val="389135F5"/>
    <w:rsid w:val="38A85BDE"/>
    <w:rsid w:val="38B247E4"/>
    <w:rsid w:val="390019F4"/>
    <w:rsid w:val="390F0F9B"/>
    <w:rsid w:val="39190B5A"/>
    <w:rsid w:val="393D67A4"/>
    <w:rsid w:val="394C4C39"/>
    <w:rsid w:val="399E4EC2"/>
    <w:rsid w:val="39AC7C1A"/>
    <w:rsid w:val="39C564BA"/>
    <w:rsid w:val="39C90037"/>
    <w:rsid w:val="39DA3B16"/>
    <w:rsid w:val="39EB4452"/>
    <w:rsid w:val="3A41569E"/>
    <w:rsid w:val="3A637B21"/>
    <w:rsid w:val="3A6D4031"/>
    <w:rsid w:val="3A6E28F0"/>
    <w:rsid w:val="3A7601BF"/>
    <w:rsid w:val="3AA12D62"/>
    <w:rsid w:val="3AD40190"/>
    <w:rsid w:val="3AD53141"/>
    <w:rsid w:val="3B102E28"/>
    <w:rsid w:val="3B183024"/>
    <w:rsid w:val="3B317DFE"/>
    <w:rsid w:val="3B4242D2"/>
    <w:rsid w:val="3B786261"/>
    <w:rsid w:val="3B80172C"/>
    <w:rsid w:val="3B893F38"/>
    <w:rsid w:val="3B90705F"/>
    <w:rsid w:val="3BA174BE"/>
    <w:rsid w:val="3BA945DE"/>
    <w:rsid w:val="3BB261EF"/>
    <w:rsid w:val="3BBB7E54"/>
    <w:rsid w:val="3BBF5B96"/>
    <w:rsid w:val="3BC431AC"/>
    <w:rsid w:val="3C3E4D0D"/>
    <w:rsid w:val="3C5067EE"/>
    <w:rsid w:val="3C522566"/>
    <w:rsid w:val="3C780AA3"/>
    <w:rsid w:val="3C7E15AD"/>
    <w:rsid w:val="3C9E553A"/>
    <w:rsid w:val="3CA05E81"/>
    <w:rsid w:val="3CBF17A9"/>
    <w:rsid w:val="3CD13DD3"/>
    <w:rsid w:val="3CEC6806"/>
    <w:rsid w:val="3CED228F"/>
    <w:rsid w:val="3CFE26EE"/>
    <w:rsid w:val="3D053872"/>
    <w:rsid w:val="3D17730C"/>
    <w:rsid w:val="3D2F4655"/>
    <w:rsid w:val="3D5E72E1"/>
    <w:rsid w:val="3DDC2A2F"/>
    <w:rsid w:val="3DDD0555"/>
    <w:rsid w:val="3DDE30C1"/>
    <w:rsid w:val="3DEE15E9"/>
    <w:rsid w:val="3DF04AA9"/>
    <w:rsid w:val="3DF44458"/>
    <w:rsid w:val="3E663F5C"/>
    <w:rsid w:val="3E7964D0"/>
    <w:rsid w:val="3EB5502E"/>
    <w:rsid w:val="3EB72B54"/>
    <w:rsid w:val="3EFB46BD"/>
    <w:rsid w:val="3F012022"/>
    <w:rsid w:val="3F316DAB"/>
    <w:rsid w:val="3F375A43"/>
    <w:rsid w:val="3F407A59"/>
    <w:rsid w:val="3F446ADE"/>
    <w:rsid w:val="3F5859C3"/>
    <w:rsid w:val="3F9966FE"/>
    <w:rsid w:val="3FA61DDE"/>
    <w:rsid w:val="3FBD063E"/>
    <w:rsid w:val="3FD15E98"/>
    <w:rsid w:val="3FD2560F"/>
    <w:rsid w:val="3FEE4781"/>
    <w:rsid w:val="400022D9"/>
    <w:rsid w:val="401B288D"/>
    <w:rsid w:val="406632B3"/>
    <w:rsid w:val="407A5D04"/>
    <w:rsid w:val="407F76A2"/>
    <w:rsid w:val="40844CB8"/>
    <w:rsid w:val="40866C82"/>
    <w:rsid w:val="408E5B37"/>
    <w:rsid w:val="40B21825"/>
    <w:rsid w:val="40CE51E5"/>
    <w:rsid w:val="40CF23D7"/>
    <w:rsid w:val="40F709BC"/>
    <w:rsid w:val="410C362B"/>
    <w:rsid w:val="41120516"/>
    <w:rsid w:val="411D36AB"/>
    <w:rsid w:val="41401527"/>
    <w:rsid w:val="414601C0"/>
    <w:rsid w:val="41BD4926"/>
    <w:rsid w:val="41E0777F"/>
    <w:rsid w:val="41EA1493"/>
    <w:rsid w:val="41FB71FC"/>
    <w:rsid w:val="420C31B7"/>
    <w:rsid w:val="420F2CA7"/>
    <w:rsid w:val="42350960"/>
    <w:rsid w:val="4235270E"/>
    <w:rsid w:val="4246606B"/>
    <w:rsid w:val="42495850"/>
    <w:rsid w:val="425E59AC"/>
    <w:rsid w:val="42772D26"/>
    <w:rsid w:val="42836415"/>
    <w:rsid w:val="428E62C2"/>
    <w:rsid w:val="429F37FC"/>
    <w:rsid w:val="42B135AC"/>
    <w:rsid w:val="42C35F6C"/>
    <w:rsid w:val="42CA554C"/>
    <w:rsid w:val="42E1238B"/>
    <w:rsid w:val="42E63A08"/>
    <w:rsid w:val="42F06635"/>
    <w:rsid w:val="43210EE4"/>
    <w:rsid w:val="432B1D63"/>
    <w:rsid w:val="43544013"/>
    <w:rsid w:val="43AA2C88"/>
    <w:rsid w:val="43D01BB2"/>
    <w:rsid w:val="43F42155"/>
    <w:rsid w:val="4404683C"/>
    <w:rsid w:val="4406254A"/>
    <w:rsid w:val="443D58AA"/>
    <w:rsid w:val="445E3E7C"/>
    <w:rsid w:val="44AD6ED3"/>
    <w:rsid w:val="45654400"/>
    <w:rsid w:val="45725D66"/>
    <w:rsid w:val="457277D5"/>
    <w:rsid w:val="45A02594"/>
    <w:rsid w:val="45BB5BFA"/>
    <w:rsid w:val="45BF746C"/>
    <w:rsid w:val="45C67B5B"/>
    <w:rsid w:val="45C77555"/>
    <w:rsid w:val="45CA5863"/>
    <w:rsid w:val="45F83EDF"/>
    <w:rsid w:val="46173683"/>
    <w:rsid w:val="461A0599"/>
    <w:rsid w:val="4642189D"/>
    <w:rsid w:val="4642364B"/>
    <w:rsid w:val="464355D7"/>
    <w:rsid w:val="465670F7"/>
    <w:rsid w:val="465E7D59"/>
    <w:rsid w:val="46715CDF"/>
    <w:rsid w:val="46A65D37"/>
    <w:rsid w:val="46E91D19"/>
    <w:rsid w:val="4704684C"/>
    <w:rsid w:val="471737EE"/>
    <w:rsid w:val="47530335"/>
    <w:rsid w:val="476E0DE5"/>
    <w:rsid w:val="478A52AA"/>
    <w:rsid w:val="47D13C9A"/>
    <w:rsid w:val="47D6229D"/>
    <w:rsid w:val="47F16B76"/>
    <w:rsid w:val="48074B4D"/>
    <w:rsid w:val="483D231C"/>
    <w:rsid w:val="48436E4D"/>
    <w:rsid w:val="48530805"/>
    <w:rsid w:val="48783354"/>
    <w:rsid w:val="48820E3E"/>
    <w:rsid w:val="488372AD"/>
    <w:rsid w:val="488E4926"/>
    <w:rsid w:val="48965639"/>
    <w:rsid w:val="489B23EA"/>
    <w:rsid w:val="48A053F4"/>
    <w:rsid w:val="48A4245B"/>
    <w:rsid w:val="48BB7EDC"/>
    <w:rsid w:val="48DA2590"/>
    <w:rsid w:val="490D6193"/>
    <w:rsid w:val="491B4C17"/>
    <w:rsid w:val="49227764"/>
    <w:rsid w:val="493E459E"/>
    <w:rsid w:val="4940333B"/>
    <w:rsid w:val="497F0713"/>
    <w:rsid w:val="49874754"/>
    <w:rsid w:val="49A44E9E"/>
    <w:rsid w:val="49A62BC0"/>
    <w:rsid w:val="49B06B1E"/>
    <w:rsid w:val="49B4660E"/>
    <w:rsid w:val="49E427F3"/>
    <w:rsid w:val="4A064990"/>
    <w:rsid w:val="4A357BCE"/>
    <w:rsid w:val="4A41516D"/>
    <w:rsid w:val="4A8A3813"/>
    <w:rsid w:val="4AA7115C"/>
    <w:rsid w:val="4AB64608"/>
    <w:rsid w:val="4ABD5996"/>
    <w:rsid w:val="4ACE3700"/>
    <w:rsid w:val="4AD514E7"/>
    <w:rsid w:val="4AD66A58"/>
    <w:rsid w:val="4AF07B1A"/>
    <w:rsid w:val="4B3A7B4E"/>
    <w:rsid w:val="4B4144D7"/>
    <w:rsid w:val="4B553E21"/>
    <w:rsid w:val="4B667DDC"/>
    <w:rsid w:val="4B893950"/>
    <w:rsid w:val="4B994494"/>
    <w:rsid w:val="4BB24DCF"/>
    <w:rsid w:val="4BB40B47"/>
    <w:rsid w:val="4BC44B03"/>
    <w:rsid w:val="4BC6087B"/>
    <w:rsid w:val="4BD96800"/>
    <w:rsid w:val="4BF335DE"/>
    <w:rsid w:val="4BFD68C7"/>
    <w:rsid w:val="4BFE6267"/>
    <w:rsid w:val="4C196BFC"/>
    <w:rsid w:val="4C196DE9"/>
    <w:rsid w:val="4C255555"/>
    <w:rsid w:val="4C2D3E5C"/>
    <w:rsid w:val="4C5C4D3B"/>
    <w:rsid w:val="4C6D519A"/>
    <w:rsid w:val="4CB63000"/>
    <w:rsid w:val="4CBB4158"/>
    <w:rsid w:val="4CBB57A3"/>
    <w:rsid w:val="4CE33A12"/>
    <w:rsid w:val="4CFA7E56"/>
    <w:rsid w:val="4D05135A"/>
    <w:rsid w:val="4D401E0F"/>
    <w:rsid w:val="4D467EC5"/>
    <w:rsid w:val="4D785BA5"/>
    <w:rsid w:val="4DAD1CF2"/>
    <w:rsid w:val="4DB766CD"/>
    <w:rsid w:val="4DF96CE5"/>
    <w:rsid w:val="4E013D22"/>
    <w:rsid w:val="4E0B4C6B"/>
    <w:rsid w:val="4E1371E0"/>
    <w:rsid w:val="4E692A2C"/>
    <w:rsid w:val="4E705700"/>
    <w:rsid w:val="4E915170"/>
    <w:rsid w:val="4E970F6A"/>
    <w:rsid w:val="4EB8094F"/>
    <w:rsid w:val="4EBD1AFF"/>
    <w:rsid w:val="4EBF119A"/>
    <w:rsid w:val="4F365D17"/>
    <w:rsid w:val="4F3855EC"/>
    <w:rsid w:val="4F7F146C"/>
    <w:rsid w:val="4FA1696E"/>
    <w:rsid w:val="4FA90931"/>
    <w:rsid w:val="4FAB5FD4"/>
    <w:rsid w:val="50261FFB"/>
    <w:rsid w:val="506D39BB"/>
    <w:rsid w:val="507A49DE"/>
    <w:rsid w:val="507C775A"/>
    <w:rsid w:val="507E5AB4"/>
    <w:rsid w:val="508D1967"/>
    <w:rsid w:val="50A70C7B"/>
    <w:rsid w:val="50A82C45"/>
    <w:rsid w:val="50A96573"/>
    <w:rsid w:val="50AC6DEA"/>
    <w:rsid w:val="50BE5FC4"/>
    <w:rsid w:val="50C1781E"/>
    <w:rsid w:val="50F1639A"/>
    <w:rsid w:val="513D15DF"/>
    <w:rsid w:val="514566E6"/>
    <w:rsid w:val="51497F84"/>
    <w:rsid w:val="51714DE5"/>
    <w:rsid w:val="51864D34"/>
    <w:rsid w:val="518E1E3B"/>
    <w:rsid w:val="51905BB3"/>
    <w:rsid w:val="51C94C21"/>
    <w:rsid w:val="51E11F6A"/>
    <w:rsid w:val="51EC090F"/>
    <w:rsid w:val="52271947"/>
    <w:rsid w:val="52302EF2"/>
    <w:rsid w:val="523757F7"/>
    <w:rsid w:val="52505342"/>
    <w:rsid w:val="5262308D"/>
    <w:rsid w:val="52A31916"/>
    <w:rsid w:val="52A4419F"/>
    <w:rsid w:val="52A85C86"/>
    <w:rsid w:val="52AA4A52"/>
    <w:rsid w:val="52D03D8D"/>
    <w:rsid w:val="52D65F63"/>
    <w:rsid w:val="53051C89"/>
    <w:rsid w:val="531D3476"/>
    <w:rsid w:val="53382DC7"/>
    <w:rsid w:val="536015B5"/>
    <w:rsid w:val="53B4545D"/>
    <w:rsid w:val="53C57D14"/>
    <w:rsid w:val="53CD7002"/>
    <w:rsid w:val="53CE609A"/>
    <w:rsid w:val="53D03CB0"/>
    <w:rsid w:val="53D8739D"/>
    <w:rsid w:val="53F41AD5"/>
    <w:rsid w:val="543C5B7E"/>
    <w:rsid w:val="54441633"/>
    <w:rsid w:val="54520EFE"/>
    <w:rsid w:val="54614C46"/>
    <w:rsid w:val="547A536D"/>
    <w:rsid w:val="54BA6AA3"/>
    <w:rsid w:val="54C252E1"/>
    <w:rsid w:val="54DD03B7"/>
    <w:rsid w:val="54ED0C26"/>
    <w:rsid w:val="54F427A9"/>
    <w:rsid w:val="54FE1085"/>
    <w:rsid w:val="550D249D"/>
    <w:rsid w:val="55235A40"/>
    <w:rsid w:val="552A00CC"/>
    <w:rsid w:val="552A59D6"/>
    <w:rsid w:val="55315D65"/>
    <w:rsid w:val="5544755C"/>
    <w:rsid w:val="555313D1"/>
    <w:rsid w:val="55551D25"/>
    <w:rsid w:val="555D5DAC"/>
    <w:rsid w:val="556D7127"/>
    <w:rsid w:val="55733821"/>
    <w:rsid w:val="558A2010"/>
    <w:rsid w:val="55AA2FBB"/>
    <w:rsid w:val="55BB7F03"/>
    <w:rsid w:val="55BE219A"/>
    <w:rsid w:val="55C72032"/>
    <w:rsid w:val="55D1679A"/>
    <w:rsid w:val="55D74822"/>
    <w:rsid w:val="55FC3817"/>
    <w:rsid w:val="561F5757"/>
    <w:rsid w:val="563A60ED"/>
    <w:rsid w:val="565F354D"/>
    <w:rsid w:val="56644F18"/>
    <w:rsid w:val="56AA618E"/>
    <w:rsid w:val="56D77DE0"/>
    <w:rsid w:val="56E20EE6"/>
    <w:rsid w:val="56E61DD1"/>
    <w:rsid w:val="56EF6ED8"/>
    <w:rsid w:val="570D55B0"/>
    <w:rsid w:val="57357F8E"/>
    <w:rsid w:val="573C40E7"/>
    <w:rsid w:val="57427274"/>
    <w:rsid w:val="575A24E3"/>
    <w:rsid w:val="575A2AA3"/>
    <w:rsid w:val="57615006"/>
    <w:rsid w:val="576378C6"/>
    <w:rsid w:val="577613A7"/>
    <w:rsid w:val="578D049F"/>
    <w:rsid w:val="57917261"/>
    <w:rsid w:val="57A209D1"/>
    <w:rsid w:val="57A557E8"/>
    <w:rsid w:val="57A9647E"/>
    <w:rsid w:val="57BC43AF"/>
    <w:rsid w:val="57D1073B"/>
    <w:rsid w:val="57E94E70"/>
    <w:rsid w:val="581D7016"/>
    <w:rsid w:val="58313520"/>
    <w:rsid w:val="5875165E"/>
    <w:rsid w:val="58A957AC"/>
    <w:rsid w:val="58DB276C"/>
    <w:rsid w:val="58DD4266"/>
    <w:rsid w:val="58E14F46"/>
    <w:rsid w:val="592421CA"/>
    <w:rsid w:val="594C6863"/>
    <w:rsid w:val="596D2336"/>
    <w:rsid w:val="59A57C4C"/>
    <w:rsid w:val="59B113EA"/>
    <w:rsid w:val="5A2A2465"/>
    <w:rsid w:val="5A567682"/>
    <w:rsid w:val="5A5B2AD6"/>
    <w:rsid w:val="5A5D4C93"/>
    <w:rsid w:val="5A663955"/>
    <w:rsid w:val="5A8408B7"/>
    <w:rsid w:val="5A9D36A5"/>
    <w:rsid w:val="5AA74DED"/>
    <w:rsid w:val="5AB26B9A"/>
    <w:rsid w:val="5ABC24FB"/>
    <w:rsid w:val="5B0311A3"/>
    <w:rsid w:val="5B231846"/>
    <w:rsid w:val="5B2804A6"/>
    <w:rsid w:val="5B307ABF"/>
    <w:rsid w:val="5B355A1A"/>
    <w:rsid w:val="5B8E2106"/>
    <w:rsid w:val="5BD7618C"/>
    <w:rsid w:val="5BDA0258"/>
    <w:rsid w:val="5C02145B"/>
    <w:rsid w:val="5C264C96"/>
    <w:rsid w:val="5C9F3FFC"/>
    <w:rsid w:val="5CF113AD"/>
    <w:rsid w:val="5CF80AB0"/>
    <w:rsid w:val="5D107BA8"/>
    <w:rsid w:val="5D292A17"/>
    <w:rsid w:val="5D2974F9"/>
    <w:rsid w:val="5D3C6BEF"/>
    <w:rsid w:val="5D752F59"/>
    <w:rsid w:val="5D7E2AC6"/>
    <w:rsid w:val="5D814602"/>
    <w:rsid w:val="5D8F31C2"/>
    <w:rsid w:val="5DBF7FE8"/>
    <w:rsid w:val="5DC82230"/>
    <w:rsid w:val="5DCD3F7B"/>
    <w:rsid w:val="5DEF3C61"/>
    <w:rsid w:val="5DF170B4"/>
    <w:rsid w:val="5E005E6E"/>
    <w:rsid w:val="5E021BE6"/>
    <w:rsid w:val="5E1121B9"/>
    <w:rsid w:val="5E231B5D"/>
    <w:rsid w:val="5E40626B"/>
    <w:rsid w:val="5E6F5886"/>
    <w:rsid w:val="5EA762EA"/>
    <w:rsid w:val="5EAF60A8"/>
    <w:rsid w:val="5ECE3E27"/>
    <w:rsid w:val="5ECE5B95"/>
    <w:rsid w:val="5EFF6126"/>
    <w:rsid w:val="5F0A5975"/>
    <w:rsid w:val="5F2711D9"/>
    <w:rsid w:val="5F362CC6"/>
    <w:rsid w:val="5F5821DF"/>
    <w:rsid w:val="5F5D4BFA"/>
    <w:rsid w:val="5F6D308F"/>
    <w:rsid w:val="5F773F0E"/>
    <w:rsid w:val="5F7F090D"/>
    <w:rsid w:val="5F812FDF"/>
    <w:rsid w:val="5F8B5C0B"/>
    <w:rsid w:val="5F920D48"/>
    <w:rsid w:val="5FBB61A1"/>
    <w:rsid w:val="5FBBF48D"/>
    <w:rsid w:val="5FBF5E70"/>
    <w:rsid w:val="5FE415E0"/>
    <w:rsid w:val="60334C18"/>
    <w:rsid w:val="60367925"/>
    <w:rsid w:val="606F595D"/>
    <w:rsid w:val="609F5F1C"/>
    <w:rsid w:val="60A56859"/>
    <w:rsid w:val="60AC055C"/>
    <w:rsid w:val="60BF5B6D"/>
    <w:rsid w:val="60DB7974"/>
    <w:rsid w:val="60E55611"/>
    <w:rsid w:val="61245938"/>
    <w:rsid w:val="614D3412"/>
    <w:rsid w:val="614F5864"/>
    <w:rsid w:val="615A7643"/>
    <w:rsid w:val="616B1851"/>
    <w:rsid w:val="61974B52"/>
    <w:rsid w:val="61ED1253"/>
    <w:rsid w:val="61EF2482"/>
    <w:rsid w:val="62053A53"/>
    <w:rsid w:val="62223D7A"/>
    <w:rsid w:val="6243202F"/>
    <w:rsid w:val="62586279"/>
    <w:rsid w:val="626562A0"/>
    <w:rsid w:val="62856942"/>
    <w:rsid w:val="629B7F14"/>
    <w:rsid w:val="62A122FA"/>
    <w:rsid w:val="62A81FE3"/>
    <w:rsid w:val="62B7575F"/>
    <w:rsid w:val="62C52F94"/>
    <w:rsid w:val="62C67EDD"/>
    <w:rsid w:val="62F334CE"/>
    <w:rsid w:val="630120B0"/>
    <w:rsid w:val="63100901"/>
    <w:rsid w:val="63211923"/>
    <w:rsid w:val="635C3B47"/>
    <w:rsid w:val="636F37C0"/>
    <w:rsid w:val="637C5D8F"/>
    <w:rsid w:val="63911317"/>
    <w:rsid w:val="63A8391B"/>
    <w:rsid w:val="63C677E4"/>
    <w:rsid w:val="63EE6769"/>
    <w:rsid w:val="63F34321"/>
    <w:rsid w:val="63F42DE3"/>
    <w:rsid w:val="63FB36A2"/>
    <w:rsid w:val="64573914"/>
    <w:rsid w:val="645B7546"/>
    <w:rsid w:val="647C1FC7"/>
    <w:rsid w:val="649015CE"/>
    <w:rsid w:val="649E3CEB"/>
    <w:rsid w:val="64F47DAF"/>
    <w:rsid w:val="65056EC7"/>
    <w:rsid w:val="65062A50"/>
    <w:rsid w:val="650E096C"/>
    <w:rsid w:val="653D3504"/>
    <w:rsid w:val="6566243E"/>
    <w:rsid w:val="656E7B61"/>
    <w:rsid w:val="65B13F50"/>
    <w:rsid w:val="65C37EAD"/>
    <w:rsid w:val="65D44695"/>
    <w:rsid w:val="65E240AB"/>
    <w:rsid w:val="660E2255"/>
    <w:rsid w:val="66147B37"/>
    <w:rsid w:val="6627035B"/>
    <w:rsid w:val="66410DD2"/>
    <w:rsid w:val="66611474"/>
    <w:rsid w:val="667016B7"/>
    <w:rsid w:val="66754F1F"/>
    <w:rsid w:val="66D46891"/>
    <w:rsid w:val="66D95392"/>
    <w:rsid w:val="66E228F0"/>
    <w:rsid w:val="67397CFB"/>
    <w:rsid w:val="675D1C3B"/>
    <w:rsid w:val="67A45ABC"/>
    <w:rsid w:val="67EE3805"/>
    <w:rsid w:val="67F02AB0"/>
    <w:rsid w:val="67FD51CC"/>
    <w:rsid w:val="68155815"/>
    <w:rsid w:val="68C87588"/>
    <w:rsid w:val="68F22857"/>
    <w:rsid w:val="69055B7F"/>
    <w:rsid w:val="6942733B"/>
    <w:rsid w:val="6953779A"/>
    <w:rsid w:val="696A0640"/>
    <w:rsid w:val="69856884"/>
    <w:rsid w:val="698E432E"/>
    <w:rsid w:val="6993213E"/>
    <w:rsid w:val="69955386"/>
    <w:rsid w:val="699D23D7"/>
    <w:rsid w:val="69A963AE"/>
    <w:rsid w:val="69BA1D3C"/>
    <w:rsid w:val="69C45FA2"/>
    <w:rsid w:val="69F56DFF"/>
    <w:rsid w:val="69F61ED3"/>
    <w:rsid w:val="6A084430"/>
    <w:rsid w:val="6A2D091B"/>
    <w:rsid w:val="6A3003EA"/>
    <w:rsid w:val="6A3D7B02"/>
    <w:rsid w:val="6A4610AD"/>
    <w:rsid w:val="6A4B37B3"/>
    <w:rsid w:val="6A647061"/>
    <w:rsid w:val="6A69300D"/>
    <w:rsid w:val="6A7774B8"/>
    <w:rsid w:val="6A927E4E"/>
    <w:rsid w:val="6A9C6D02"/>
    <w:rsid w:val="6AA33E09"/>
    <w:rsid w:val="6AA933EA"/>
    <w:rsid w:val="6AD06BC8"/>
    <w:rsid w:val="6AE52674"/>
    <w:rsid w:val="6AEB43C1"/>
    <w:rsid w:val="6B03191D"/>
    <w:rsid w:val="6B4849B1"/>
    <w:rsid w:val="6B4B624F"/>
    <w:rsid w:val="6B826114"/>
    <w:rsid w:val="6B827EC3"/>
    <w:rsid w:val="6BB169FA"/>
    <w:rsid w:val="6BBA1762"/>
    <w:rsid w:val="6BD36970"/>
    <w:rsid w:val="6BE0108D"/>
    <w:rsid w:val="6BE3E8EB"/>
    <w:rsid w:val="6C382A69"/>
    <w:rsid w:val="6C663340"/>
    <w:rsid w:val="6C6835C6"/>
    <w:rsid w:val="6C944351"/>
    <w:rsid w:val="6CAB51F7"/>
    <w:rsid w:val="6CC62031"/>
    <w:rsid w:val="6CD62F63"/>
    <w:rsid w:val="6CE30E35"/>
    <w:rsid w:val="6D1F7993"/>
    <w:rsid w:val="6D4641C9"/>
    <w:rsid w:val="6D672453"/>
    <w:rsid w:val="6D674564"/>
    <w:rsid w:val="6D730158"/>
    <w:rsid w:val="6D8D2BF2"/>
    <w:rsid w:val="6D967137"/>
    <w:rsid w:val="6D9D423D"/>
    <w:rsid w:val="6DB66549"/>
    <w:rsid w:val="6DBC7542"/>
    <w:rsid w:val="6DD32C57"/>
    <w:rsid w:val="6DEC4263"/>
    <w:rsid w:val="6E2B1519"/>
    <w:rsid w:val="6E405E13"/>
    <w:rsid w:val="6E774CD7"/>
    <w:rsid w:val="6E9D3265"/>
    <w:rsid w:val="6EB75132"/>
    <w:rsid w:val="6EC24A7A"/>
    <w:rsid w:val="6ECE341F"/>
    <w:rsid w:val="6EDB549D"/>
    <w:rsid w:val="6EF71A09"/>
    <w:rsid w:val="6F125A01"/>
    <w:rsid w:val="6F213E96"/>
    <w:rsid w:val="6F4436E1"/>
    <w:rsid w:val="6F4E1D63"/>
    <w:rsid w:val="6F5E33EE"/>
    <w:rsid w:val="6F5F379E"/>
    <w:rsid w:val="6F60051B"/>
    <w:rsid w:val="6F60676D"/>
    <w:rsid w:val="6F6E027D"/>
    <w:rsid w:val="6F753190"/>
    <w:rsid w:val="6F8F0E00"/>
    <w:rsid w:val="6F9838A8"/>
    <w:rsid w:val="6FA56875"/>
    <w:rsid w:val="6FB70357"/>
    <w:rsid w:val="6FB7426E"/>
    <w:rsid w:val="6FC82564"/>
    <w:rsid w:val="6FE86EBE"/>
    <w:rsid w:val="6FFFF095"/>
    <w:rsid w:val="70052E70"/>
    <w:rsid w:val="7012558D"/>
    <w:rsid w:val="70126ED4"/>
    <w:rsid w:val="70377C0C"/>
    <w:rsid w:val="705B0CE2"/>
    <w:rsid w:val="70760621"/>
    <w:rsid w:val="70765B1C"/>
    <w:rsid w:val="707820A5"/>
    <w:rsid w:val="707A1AB0"/>
    <w:rsid w:val="70AA7A97"/>
    <w:rsid w:val="70C42D2B"/>
    <w:rsid w:val="70FE623D"/>
    <w:rsid w:val="7127363D"/>
    <w:rsid w:val="712905F6"/>
    <w:rsid w:val="7134422D"/>
    <w:rsid w:val="715E4F2E"/>
    <w:rsid w:val="716635B3"/>
    <w:rsid w:val="71F94C57"/>
    <w:rsid w:val="7231619E"/>
    <w:rsid w:val="72697AE4"/>
    <w:rsid w:val="727662A7"/>
    <w:rsid w:val="727B0D59"/>
    <w:rsid w:val="728716B2"/>
    <w:rsid w:val="72A44B2E"/>
    <w:rsid w:val="72A453F4"/>
    <w:rsid w:val="72BC63B0"/>
    <w:rsid w:val="72D66D46"/>
    <w:rsid w:val="72DB610A"/>
    <w:rsid w:val="73075151"/>
    <w:rsid w:val="730B4C41"/>
    <w:rsid w:val="73161A33"/>
    <w:rsid w:val="732D4BB8"/>
    <w:rsid w:val="734343DB"/>
    <w:rsid w:val="73506AF8"/>
    <w:rsid w:val="736600CA"/>
    <w:rsid w:val="7371505C"/>
    <w:rsid w:val="738A7D9B"/>
    <w:rsid w:val="73DB2875"/>
    <w:rsid w:val="73FC0A2E"/>
    <w:rsid w:val="73FD68CF"/>
    <w:rsid w:val="741D2E7E"/>
    <w:rsid w:val="74312486"/>
    <w:rsid w:val="74390098"/>
    <w:rsid w:val="745F328B"/>
    <w:rsid w:val="747D391D"/>
    <w:rsid w:val="74AC4610"/>
    <w:rsid w:val="74AE7F7A"/>
    <w:rsid w:val="74B35591"/>
    <w:rsid w:val="74C01A29"/>
    <w:rsid w:val="74CF73A2"/>
    <w:rsid w:val="74E97204"/>
    <w:rsid w:val="74ED3C3D"/>
    <w:rsid w:val="75071439"/>
    <w:rsid w:val="750C50EA"/>
    <w:rsid w:val="75330480"/>
    <w:rsid w:val="755503F6"/>
    <w:rsid w:val="756047B5"/>
    <w:rsid w:val="75681C5D"/>
    <w:rsid w:val="756B594D"/>
    <w:rsid w:val="75856536"/>
    <w:rsid w:val="75B555B0"/>
    <w:rsid w:val="75B74C0D"/>
    <w:rsid w:val="75D57CF7"/>
    <w:rsid w:val="76003DEA"/>
    <w:rsid w:val="765B6124"/>
    <w:rsid w:val="765E32DA"/>
    <w:rsid w:val="76624803"/>
    <w:rsid w:val="766E5C13"/>
    <w:rsid w:val="76872831"/>
    <w:rsid w:val="76A35191"/>
    <w:rsid w:val="76C9109B"/>
    <w:rsid w:val="76D8529A"/>
    <w:rsid w:val="76E84289"/>
    <w:rsid w:val="76EA2437"/>
    <w:rsid w:val="76EE7D44"/>
    <w:rsid w:val="771340C5"/>
    <w:rsid w:val="77244524"/>
    <w:rsid w:val="773724A9"/>
    <w:rsid w:val="773874B1"/>
    <w:rsid w:val="7763329E"/>
    <w:rsid w:val="776668EA"/>
    <w:rsid w:val="776A05DB"/>
    <w:rsid w:val="776E0FFC"/>
    <w:rsid w:val="77A46E39"/>
    <w:rsid w:val="77AB03B1"/>
    <w:rsid w:val="7815458C"/>
    <w:rsid w:val="781B5927"/>
    <w:rsid w:val="78374863"/>
    <w:rsid w:val="785B5D23"/>
    <w:rsid w:val="787935B2"/>
    <w:rsid w:val="787D038F"/>
    <w:rsid w:val="78811502"/>
    <w:rsid w:val="78B74F24"/>
    <w:rsid w:val="78C13499"/>
    <w:rsid w:val="78D62BFA"/>
    <w:rsid w:val="78DD642B"/>
    <w:rsid w:val="79073F5C"/>
    <w:rsid w:val="79273353"/>
    <w:rsid w:val="797277DD"/>
    <w:rsid w:val="797357B6"/>
    <w:rsid w:val="79792B3B"/>
    <w:rsid w:val="79823FDA"/>
    <w:rsid w:val="79830358"/>
    <w:rsid w:val="79927E6B"/>
    <w:rsid w:val="79A932DC"/>
    <w:rsid w:val="79B50E4D"/>
    <w:rsid w:val="79BC25FE"/>
    <w:rsid w:val="79ED32F3"/>
    <w:rsid w:val="7A501235"/>
    <w:rsid w:val="7A5974BB"/>
    <w:rsid w:val="7A937945"/>
    <w:rsid w:val="7A965738"/>
    <w:rsid w:val="7A9D616C"/>
    <w:rsid w:val="7ADE49EA"/>
    <w:rsid w:val="7B0A57DF"/>
    <w:rsid w:val="7B0E3521"/>
    <w:rsid w:val="7B1228E5"/>
    <w:rsid w:val="7B1A0118"/>
    <w:rsid w:val="7B367446"/>
    <w:rsid w:val="7B3D0DDF"/>
    <w:rsid w:val="7B40095B"/>
    <w:rsid w:val="7B407452"/>
    <w:rsid w:val="7B4B6523"/>
    <w:rsid w:val="7B8C08E9"/>
    <w:rsid w:val="7B9F686F"/>
    <w:rsid w:val="7BC2255D"/>
    <w:rsid w:val="7BE820AF"/>
    <w:rsid w:val="7C2C502F"/>
    <w:rsid w:val="7C3E7E36"/>
    <w:rsid w:val="7C3F3BAE"/>
    <w:rsid w:val="7C484810"/>
    <w:rsid w:val="7C765821"/>
    <w:rsid w:val="7C815D08"/>
    <w:rsid w:val="7C9B5288"/>
    <w:rsid w:val="7CB8452C"/>
    <w:rsid w:val="7CDF72DC"/>
    <w:rsid w:val="7D44147C"/>
    <w:rsid w:val="7D6124ED"/>
    <w:rsid w:val="7D6438CC"/>
    <w:rsid w:val="7D6A4E7C"/>
    <w:rsid w:val="7D7A30EF"/>
    <w:rsid w:val="7D825338"/>
    <w:rsid w:val="7DC06671"/>
    <w:rsid w:val="7E2748F9"/>
    <w:rsid w:val="7E437985"/>
    <w:rsid w:val="7E5B4ABE"/>
    <w:rsid w:val="7E7E09BD"/>
    <w:rsid w:val="7E953F59"/>
    <w:rsid w:val="7EAD4DFF"/>
    <w:rsid w:val="7EDC2712"/>
    <w:rsid w:val="7EDC6CD3"/>
    <w:rsid w:val="7EEF18BB"/>
    <w:rsid w:val="7EFC3680"/>
    <w:rsid w:val="7F263D72"/>
    <w:rsid w:val="7F402117"/>
    <w:rsid w:val="7F74591C"/>
    <w:rsid w:val="7F7B4EFD"/>
    <w:rsid w:val="7F7E49ED"/>
    <w:rsid w:val="7F9935D5"/>
    <w:rsid w:val="7FBD3842"/>
    <w:rsid w:val="7FE44850"/>
    <w:rsid w:val="7FEA3E31"/>
    <w:rsid w:val="7FFF9934"/>
    <w:rsid w:val="ABDFC1FB"/>
    <w:rsid w:val="AE6CD246"/>
    <w:rsid w:val="AF7F02B8"/>
    <w:rsid w:val="B7BD55B3"/>
    <w:rsid w:val="DD5D6FC6"/>
    <w:rsid w:val="DEC66A9A"/>
    <w:rsid w:val="EBFEC7B9"/>
    <w:rsid w:val="FC3D91D8"/>
    <w:rsid w:val="FFDB8DDF"/>
    <w:rsid w:val="FFF3AF35"/>
    <w:rsid w:val="FFF75D4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39"/>
      <w:ind w:right="57"/>
      <w:jc w:val="center"/>
      <w:outlineLvl w:val="0"/>
    </w:pPr>
    <w:rPr>
      <w:rFonts w:ascii="黑体" w:hAnsi="黑体" w:eastAsia="黑体" w:cs="黑体"/>
      <w:b/>
      <w:bCs/>
      <w:sz w:val="32"/>
      <w:szCs w:val="32"/>
    </w:rPr>
  </w:style>
  <w:style w:type="paragraph" w:styleId="4">
    <w:name w:val="heading 2"/>
    <w:basedOn w:val="1"/>
    <w:next w:val="1"/>
    <w:qFormat/>
    <w:uiPriority w:val="1"/>
    <w:pPr>
      <w:ind w:left="338"/>
      <w:outlineLvl w:val="1"/>
    </w:pPr>
    <w:rPr>
      <w:b/>
      <w:bCs/>
      <w:sz w:val="30"/>
      <w:szCs w:val="30"/>
    </w:rPr>
  </w:style>
  <w:style w:type="paragraph" w:styleId="5">
    <w:name w:val="heading 3"/>
    <w:basedOn w:val="1"/>
    <w:next w:val="1"/>
    <w:unhideWhenUsed/>
    <w:qFormat/>
    <w:uiPriority w:val="0"/>
    <w:pPr>
      <w:keepNext/>
      <w:keepLines/>
      <w:adjustRightInd w:val="0"/>
      <w:snapToGrid w:val="0"/>
      <w:jc w:val="center"/>
      <w:outlineLvl w:val="2"/>
    </w:pPr>
    <w:rPr>
      <w:rFonts w:ascii="Times New Roman" w:hAnsi="Times New Roman" w:cs="仿宋_GB2312"/>
      <w:b/>
      <w:bCs/>
      <w:sz w:val="28"/>
      <w:szCs w:val="32"/>
    </w:rPr>
  </w:style>
  <w:style w:type="paragraph" w:styleId="6">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Cs w:val="28"/>
    </w:rPr>
  </w:style>
  <w:style w:type="paragraph" w:styleId="7">
    <w:name w:val="heading 6"/>
    <w:basedOn w:val="1"/>
    <w:next w:val="1"/>
    <w:qFormat/>
    <w:uiPriority w:val="1"/>
    <w:pPr>
      <w:ind w:left="761"/>
      <w:outlineLvl w:val="5"/>
    </w:pPr>
    <w:rPr>
      <w:b/>
      <w:bCs/>
      <w:sz w:val="21"/>
      <w:szCs w:val="21"/>
    </w:rPr>
  </w:style>
  <w:style w:type="character" w:default="1" w:styleId="27">
    <w:name w:val="Default Paragraph Font"/>
    <w:unhideWhenUsed/>
    <w:qFormat/>
    <w:uiPriority w:val="1"/>
  </w:style>
  <w:style w:type="table" w:default="1" w:styleId="25">
    <w:name w:val="Normal Table"/>
    <w:unhideWhenUsed/>
    <w:qFormat/>
    <w:uiPriority w:val="99"/>
    <w:pPr>
      <w:widowControl/>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paragraph" w:styleId="8">
    <w:name w:val="index 8"/>
    <w:basedOn w:val="1"/>
    <w:next w:val="1"/>
    <w:qFormat/>
    <w:uiPriority w:val="0"/>
    <w:pPr>
      <w:ind w:left="2940"/>
    </w:pPr>
  </w:style>
  <w:style w:type="paragraph" w:styleId="9">
    <w:name w:val="Normal Indent"/>
    <w:basedOn w:val="1"/>
    <w:qFormat/>
    <w:uiPriority w:val="0"/>
    <w:pPr>
      <w:ind w:firstLine="420"/>
    </w:pPr>
    <w:rPr>
      <w:szCs w:val="20"/>
    </w:rPr>
  </w:style>
  <w:style w:type="paragraph" w:styleId="10">
    <w:name w:val="annotation text"/>
    <w:basedOn w:val="1"/>
    <w:link w:val="53"/>
    <w:qFormat/>
    <w:uiPriority w:val="0"/>
  </w:style>
  <w:style w:type="paragraph" w:styleId="11">
    <w:name w:val="Body Text"/>
    <w:basedOn w:val="1"/>
    <w:qFormat/>
    <w:uiPriority w:val="1"/>
    <w:rPr>
      <w:sz w:val="21"/>
      <w:szCs w:val="21"/>
    </w:rPr>
  </w:style>
  <w:style w:type="paragraph" w:styleId="12">
    <w:name w:val="Body Text Indent"/>
    <w:basedOn w:val="1"/>
    <w:qFormat/>
    <w:uiPriority w:val="0"/>
    <w:pPr>
      <w:spacing w:line="200" w:lineRule="exact"/>
      <w:ind w:firstLine="301"/>
    </w:pPr>
    <w:rPr>
      <w:rFonts w:ascii="宋体" w:hAnsi="Courier New" w:eastAsia="宋体" w:cs="Times New Roman"/>
      <w:spacing w:val="-4"/>
      <w:sz w:val="18"/>
      <w:szCs w:val="20"/>
    </w:rPr>
  </w:style>
  <w:style w:type="paragraph" w:styleId="13">
    <w:name w:val="Plain Text"/>
    <w:basedOn w:val="1"/>
    <w:next w:val="1"/>
    <w:link w:val="56"/>
    <w:qFormat/>
    <w:uiPriority w:val="0"/>
    <w:rPr>
      <w:rFonts w:hAnsi="Courier New" w:cs="Courier New"/>
      <w:szCs w:val="21"/>
    </w:rPr>
  </w:style>
  <w:style w:type="paragraph" w:styleId="14">
    <w:name w:val="Balloon Text"/>
    <w:basedOn w:val="1"/>
    <w:link w:val="50"/>
    <w:qFormat/>
    <w:uiPriority w:val="0"/>
    <w:rPr>
      <w:sz w:val="18"/>
      <w:szCs w:val="18"/>
    </w:rPr>
  </w:style>
  <w:style w:type="paragraph" w:styleId="15">
    <w:name w:val="footer"/>
    <w:basedOn w:val="1"/>
    <w:qFormat/>
    <w:uiPriority w:val="99"/>
    <w:pPr>
      <w:tabs>
        <w:tab w:val="center" w:pos="4153"/>
        <w:tab w:val="right" w:pos="8306"/>
      </w:tabs>
      <w:snapToGrid w:val="0"/>
    </w:pPr>
    <w:rPr>
      <w:rFonts w:ascii="宋体" w:hAnsi="宋体" w:eastAsia="宋体"/>
      <w:sz w:val="21"/>
      <w:szCs w:val="18"/>
    </w:rPr>
  </w:style>
  <w:style w:type="paragraph" w:styleId="16">
    <w:name w:val="envelope return"/>
    <w:basedOn w:val="1"/>
    <w:qFormat/>
    <w:uiPriority w:val="0"/>
    <w:pPr>
      <w:snapToGrid w:val="0"/>
    </w:pPr>
    <w:rPr>
      <w:rFonts w:ascii="Arial" w:hAnsi="Arial" w:eastAsia="宋体" w:cs="Times New Roman"/>
    </w:rPr>
  </w:style>
  <w:style w:type="paragraph" w:styleId="17">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1"/>
    <w:pPr>
      <w:spacing w:before="334"/>
      <w:ind w:left="698"/>
    </w:pPr>
    <w:rPr>
      <w:b/>
      <w:bCs/>
      <w:sz w:val="32"/>
      <w:szCs w:val="32"/>
    </w:rPr>
  </w:style>
  <w:style w:type="paragraph" w:styleId="19">
    <w:name w:val="Body Text Indent 3"/>
    <w:basedOn w:val="1"/>
    <w:unhideWhenUsed/>
    <w:qFormat/>
    <w:uiPriority w:val="0"/>
    <w:pPr>
      <w:widowControl w:val="0"/>
      <w:adjustRightInd/>
      <w:snapToGrid/>
      <w:spacing w:after="120"/>
      <w:ind w:left="420" w:leftChars="200"/>
      <w:jc w:val="both"/>
    </w:pPr>
    <w:rPr>
      <w:rFonts w:ascii="Times New Roman" w:hAnsi="Times New Roman" w:eastAsia="宋体" w:cs="Times New Roman"/>
      <w:kern w:val="2"/>
      <w:sz w:val="16"/>
      <w:szCs w:val="16"/>
    </w:rPr>
  </w:style>
  <w:style w:type="paragraph" w:styleId="2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21">
    <w:name w:val="Normal (Web)"/>
    <w:basedOn w:val="1"/>
    <w:qFormat/>
    <w:uiPriority w:val="0"/>
    <w:pPr>
      <w:widowControl/>
      <w:spacing w:before="100" w:beforeAutospacing="1" w:after="100" w:afterAutospacing="1"/>
    </w:pPr>
    <w:rPr>
      <w:sz w:val="24"/>
    </w:rPr>
  </w:style>
  <w:style w:type="paragraph" w:styleId="22">
    <w:name w:val="annotation subject"/>
    <w:basedOn w:val="10"/>
    <w:next w:val="10"/>
    <w:link w:val="54"/>
    <w:qFormat/>
    <w:uiPriority w:val="0"/>
    <w:rPr>
      <w:b/>
      <w:bCs/>
    </w:rPr>
  </w:style>
  <w:style w:type="paragraph" w:styleId="23">
    <w:name w:val="Body Text First Indent"/>
    <w:basedOn w:val="11"/>
    <w:next w:val="1"/>
    <w:qFormat/>
    <w:uiPriority w:val="0"/>
    <w:pPr>
      <w:spacing w:after="120" w:line="240" w:lineRule="auto"/>
      <w:ind w:firstLine="420" w:firstLineChars="100"/>
    </w:pPr>
    <w:rPr>
      <w:sz w:val="21"/>
    </w:rPr>
  </w:style>
  <w:style w:type="paragraph" w:styleId="24">
    <w:name w:val="Body Text First Indent 2"/>
    <w:basedOn w:val="12"/>
    <w:qFormat/>
    <w:uiPriority w:val="0"/>
    <w:pPr>
      <w:spacing w:after="120" w:line="240" w:lineRule="auto"/>
      <w:ind w:left="420" w:leftChars="200" w:firstLine="420"/>
      <w:jc w:val="both"/>
    </w:pPr>
    <w:rPr>
      <w:rFonts w:ascii="Times New Roman" w:hAnsi="Times New Roman" w:eastAsia="宋体" w:cs="Times New Roman"/>
      <w:color w:val="000000"/>
      <w:sz w:val="21"/>
      <w:szCs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basedOn w:val="27"/>
    <w:qFormat/>
    <w:uiPriority w:val="0"/>
    <w:rPr>
      <w:color w:val="333333"/>
      <w:u w:val="none"/>
    </w:rPr>
  </w:style>
  <w:style w:type="character" w:styleId="30">
    <w:name w:val="Emphasis"/>
    <w:basedOn w:val="27"/>
    <w:qFormat/>
    <w:uiPriority w:val="0"/>
  </w:style>
  <w:style w:type="character" w:styleId="31">
    <w:name w:val="HTML Definition"/>
    <w:basedOn w:val="27"/>
    <w:qFormat/>
    <w:uiPriority w:val="0"/>
  </w:style>
  <w:style w:type="character" w:styleId="32">
    <w:name w:val="HTML Acronym"/>
    <w:basedOn w:val="27"/>
    <w:qFormat/>
    <w:uiPriority w:val="0"/>
  </w:style>
  <w:style w:type="character" w:styleId="33">
    <w:name w:val="HTML Variable"/>
    <w:basedOn w:val="27"/>
    <w:qFormat/>
    <w:uiPriority w:val="0"/>
  </w:style>
  <w:style w:type="character" w:styleId="34">
    <w:name w:val="Hyperlink"/>
    <w:basedOn w:val="27"/>
    <w:qFormat/>
    <w:uiPriority w:val="0"/>
    <w:rPr>
      <w:color w:val="333333"/>
      <w:u w:val="none"/>
    </w:rPr>
  </w:style>
  <w:style w:type="character" w:styleId="35">
    <w:name w:val="HTML Code"/>
    <w:basedOn w:val="27"/>
    <w:qFormat/>
    <w:uiPriority w:val="0"/>
    <w:rPr>
      <w:rFonts w:ascii="Courier New" w:hAnsi="Courier New"/>
      <w:color w:val="505050"/>
      <w:sz w:val="24"/>
      <w:szCs w:val="24"/>
    </w:rPr>
  </w:style>
  <w:style w:type="character" w:styleId="36">
    <w:name w:val="annotation reference"/>
    <w:basedOn w:val="27"/>
    <w:qFormat/>
    <w:uiPriority w:val="0"/>
    <w:rPr>
      <w:sz w:val="21"/>
      <w:szCs w:val="21"/>
    </w:rPr>
  </w:style>
  <w:style w:type="character" w:styleId="37">
    <w:name w:val="HTML Cite"/>
    <w:basedOn w:val="27"/>
    <w:qFormat/>
    <w:uiPriority w:val="0"/>
  </w:style>
  <w:style w:type="paragraph" w:customStyle="1" w:styleId="38">
    <w:name w:val="样式 标题 2 + 宋体"/>
    <w:basedOn w:val="4"/>
    <w:qFormat/>
    <w:uiPriority w:val="99"/>
    <w:pPr>
      <w:tabs>
        <w:tab w:val="left" w:pos="360"/>
      </w:tabs>
    </w:pPr>
    <w:rPr>
      <w:rFonts w:ascii="宋体" w:hAnsi="宋体"/>
      <w:sz w:val="30"/>
    </w:rPr>
  </w:style>
  <w:style w:type="paragraph" w:customStyle="1" w:styleId="39">
    <w:name w:val="Default"/>
    <w:qFormat/>
    <w:uiPriority w:val="0"/>
    <w:pPr>
      <w:widowControl w:val="0"/>
    </w:pPr>
    <w:rPr>
      <w:rFonts w:ascii="宋体" w:hAnsi="宋体" w:eastAsia="宋体" w:cs="宋体"/>
      <w:color w:val="000000"/>
      <w:sz w:val="24"/>
      <w:lang w:val="en-US" w:eastAsia="zh-CN" w:bidi="ar-SA"/>
    </w:rPr>
  </w:style>
  <w:style w:type="paragraph" w:customStyle="1" w:styleId="40">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文字"/>
    <w:basedOn w:val="1"/>
    <w:qFormat/>
    <w:uiPriority w:val="0"/>
    <w:rPr>
      <w:bCs/>
      <w:spacing w:val="10"/>
      <w:sz w:val="24"/>
    </w:rPr>
  </w:style>
  <w:style w:type="paragraph" w:customStyle="1" w:styleId="42">
    <w:name w:val="正文段"/>
    <w:basedOn w:val="1"/>
    <w:qFormat/>
    <w:uiPriority w:val="0"/>
    <w:pPr>
      <w:widowControl/>
      <w:snapToGrid w:val="0"/>
      <w:spacing w:afterLines="50"/>
      <w:ind w:firstLine="200" w:firstLineChars="200"/>
    </w:pPr>
    <w:rPr>
      <w:sz w:val="24"/>
      <w:szCs w:val="20"/>
    </w:rPr>
  </w:style>
  <w:style w:type="paragraph" w:customStyle="1" w:styleId="43">
    <w:name w:val="1"/>
    <w:basedOn w:val="1"/>
    <w:next w:val="13"/>
    <w:qFormat/>
    <w:uiPriority w:val="0"/>
    <w:rPr>
      <w:rFonts w:hAnsi="Courier New"/>
      <w:szCs w:val="20"/>
    </w:rPr>
  </w:style>
  <w:style w:type="paragraph" w:customStyle="1" w:styleId="44">
    <w:name w:val="p16"/>
    <w:basedOn w:val="1"/>
    <w:qFormat/>
    <w:uiPriority w:val="0"/>
    <w:pPr>
      <w:widowControl/>
    </w:pPr>
    <w:rPr>
      <w:szCs w:val="21"/>
    </w:rPr>
  </w:style>
  <w:style w:type="paragraph" w:customStyle="1" w:styleId="45">
    <w:name w:val="列出段落1"/>
    <w:basedOn w:val="1"/>
    <w:qFormat/>
    <w:uiPriority w:val="1"/>
    <w:pPr>
      <w:ind w:left="267" w:hanging="223"/>
    </w:pPr>
  </w:style>
  <w:style w:type="paragraph" w:customStyle="1" w:styleId="46">
    <w:name w:val="Other|1"/>
    <w:basedOn w:val="1"/>
    <w:qFormat/>
    <w:uiPriority w:val="0"/>
    <w:rPr>
      <w:rFonts w:ascii="MingLiU" w:hAnsi="MingLiU" w:eastAsia="MingLiU" w:cs="MingLiU"/>
      <w:sz w:val="20"/>
      <w:szCs w:val="20"/>
      <w:lang w:val="zh-TW" w:eastAsia="zh-TW" w:bidi="zh-TW"/>
    </w:rPr>
  </w:style>
  <w:style w:type="paragraph" w:customStyle="1" w:styleId="47">
    <w:name w:val="p15"/>
    <w:basedOn w:val="1"/>
    <w:qFormat/>
    <w:uiPriority w:val="0"/>
    <w:pPr>
      <w:widowControl/>
    </w:pPr>
    <w:rPr>
      <w:rFonts w:ascii="宋体" w:hAnsi="宋体" w:cs="宋体"/>
      <w:kern w:val="0"/>
      <w:szCs w:val="21"/>
    </w:rPr>
  </w:style>
  <w:style w:type="paragraph" w:customStyle="1" w:styleId="48">
    <w:name w:val="p0"/>
    <w:basedOn w:val="1"/>
    <w:qFormat/>
    <w:uiPriority w:val="0"/>
    <w:pPr>
      <w:widowControl/>
    </w:pPr>
    <w:rPr>
      <w:rFonts w:ascii="Calibri" w:hAnsi="Calibri" w:cs="宋体"/>
      <w:kern w:val="0"/>
      <w:szCs w:val="21"/>
    </w:rPr>
  </w:style>
  <w:style w:type="character" w:customStyle="1" w:styleId="49">
    <w:name w:val="页眉 字符"/>
    <w:basedOn w:val="27"/>
    <w:link w:val="17"/>
    <w:qFormat/>
    <w:uiPriority w:val="0"/>
    <w:rPr>
      <w:rFonts w:ascii="宋体" w:hAnsi="宋体" w:cs="宋体"/>
      <w:sz w:val="18"/>
      <w:szCs w:val="18"/>
      <w:lang w:val="zh-CN" w:bidi="zh-CN"/>
    </w:rPr>
  </w:style>
  <w:style w:type="character" w:customStyle="1" w:styleId="50">
    <w:name w:val="批注框文本 字符"/>
    <w:basedOn w:val="27"/>
    <w:link w:val="14"/>
    <w:qFormat/>
    <w:uiPriority w:val="0"/>
    <w:rPr>
      <w:rFonts w:ascii="宋体" w:hAnsi="宋体" w:cs="宋体"/>
      <w:sz w:val="18"/>
      <w:szCs w:val="18"/>
      <w:lang w:val="zh-CN" w:bidi="zh-CN"/>
    </w:rPr>
  </w:style>
  <w:style w:type="character" w:customStyle="1" w:styleId="51">
    <w:name w:val="纯文本 字符"/>
    <w:basedOn w:val="27"/>
    <w:link w:val="13"/>
    <w:qFormat/>
    <w:uiPriority w:val="0"/>
    <w:rPr>
      <w:rFonts w:ascii="宋体" w:hAnsi="Courier New" w:cs="Courier New"/>
      <w:sz w:val="22"/>
      <w:szCs w:val="21"/>
      <w:lang w:val="zh-CN" w:bidi="zh-CN"/>
    </w:rPr>
  </w:style>
  <w:style w:type="character" w:customStyle="1" w:styleId="52">
    <w:name w:val="普通文字 Char Char3"/>
    <w:basedOn w:val="27"/>
    <w:qFormat/>
    <w:uiPriority w:val="0"/>
    <w:rPr>
      <w:rFonts w:hint="eastAsia" w:ascii="宋体" w:hAnsi="Courier New" w:eastAsia="宋体" w:cs="宋体"/>
      <w:kern w:val="2"/>
      <w:sz w:val="21"/>
      <w:lang w:val="en-US" w:eastAsia="zh-CN" w:bidi="ar-SA"/>
    </w:rPr>
  </w:style>
  <w:style w:type="character" w:customStyle="1" w:styleId="53">
    <w:name w:val="批注文字 字符"/>
    <w:basedOn w:val="27"/>
    <w:link w:val="10"/>
    <w:qFormat/>
    <w:uiPriority w:val="0"/>
    <w:rPr>
      <w:rFonts w:ascii="宋体" w:hAnsi="宋体" w:eastAsia="宋体" w:cs="宋体"/>
      <w:sz w:val="22"/>
      <w:szCs w:val="22"/>
      <w:lang w:val="zh-CN" w:bidi="zh-CN"/>
    </w:rPr>
  </w:style>
  <w:style w:type="character" w:customStyle="1" w:styleId="54">
    <w:name w:val="批注主题 字符"/>
    <w:basedOn w:val="53"/>
    <w:link w:val="22"/>
    <w:qFormat/>
    <w:uiPriority w:val="0"/>
    <w:rPr>
      <w:rFonts w:ascii="宋体" w:hAnsi="宋体" w:eastAsia="宋体" w:cs="宋体"/>
      <w:b/>
      <w:bCs/>
      <w:sz w:val="22"/>
      <w:szCs w:val="22"/>
      <w:lang w:val="zh-CN" w:bidi="zh-CN"/>
    </w:rPr>
  </w:style>
  <w:style w:type="character" w:customStyle="1" w:styleId="55">
    <w:name w:val="NormalCharacter"/>
    <w:qFormat/>
    <w:uiPriority w:val="99"/>
    <w:rPr>
      <w:rFonts w:ascii="Times New Roman" w:hAnsi="Times New Roman" w:eastAsia="宋体"/>
      <w:kern w:val="2"/>
      <w:sz w:val="24"/>
      <w:lang w:val="en-US" w:eastAsia="zh-CN"/>
    </w:rPr>
  </w:style>
  <w:style w:type="character" w:customStyle="1" w:styleId="56">
    <w:name w:val="纯文本 Char"/>
    <w:basedOn w:val="27"/>
    <w:link w:val="13"/>
    <w:qFormat/>
    <w:uiPriority w:val="0"/>
    <w:rPr>
      <w:rFonts w:hint="eastAsia" w:ascii="宋体" w:hAnsi="Courier New" w:eastAsia="宋体" w:cs="Courier New"/>
      <w:kern w:val="2"/>
      <w:sz w:val="21"/>
      <w:szCs w:val="21"/>
    </w:rPr>
  </w:style>
  <w:style w:type="paragraph" w:styleId="57">
    <w:name w:val="List Paragraph"/>
    <w:basedOn w:val="1"/>
    <w:qFormat/>
    <w:uiPriority w:val="34"/>
    <w:pPr>
      <w:ind w:firstLine="420" w:firstLineChars="200"/>
    </w:pPr>
  </w:style>
  <w:style w:type="paragraph" w:customStyle="1" w:styleId="58">
    <w:name w:val="列出段落11"/>
    <w:basedOn w:val="1"/>
    <w:autoRedefine/>
    <w:qFormat/>
    <w:uiPriority w:val="34"/>
    <w:pPr>
      <w:spacing w:line="240" w:lineRule="auto"/>
      <w:ind w:firstLine="420" w:firstLineChars="200"/>
    </w:pPr>
    <w:rPr>
      <w:rFonts w:ascii="Calibri" w:hAnsi="Calibri" w:eastAsia="宋体" w:cs="Times New Roman"/>
    </w:rPr>
  </w:style>
  <w:style w:type="paragraph" w:customStyle="1" w:styleId="59">
    <w:name w:val="Table Text"/>
    <w:basedOn w:val="1"/>
    <w:semiHidden/>
    <w:qFormat/>
    <w:uiPriority w:val="0"/>
    <w:rPr>
      <w:rFonts w:ascii="宋体" w:hAnsi="宋体" w:eastAsia="宋体" w:cs="宋体"/>
      <w:sz w:val="20"/>
      <w:szCs w:val="20"/>
      <w:lang w:val="en-US" w:eastAsia="en-US" w:bidi="ar-SA"/>
    </w:rPr>
  </w:style>
  <w:style w:type="table" w:customStyle="1" w:styleId="6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60</Pages>
  <Words>16432</Words>
  <Characters>17580</Characters>
  <Lines>156</Lines>
  <Paragraphs>43</Paragraphs>
  <TotalTime>101</TotalTime>
  <ScaleCrop>false</ScaleCrop>
  <LinksUpToDate>false</LinksUpToDate>
  <CharactersWithSpaces>17767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2020-08-09T03:07:00Z</dcterms:created>
  <dc:creator>小丶点</dc:creator>
  <cp:lastModifiedBy>ミ奮鈄D尐吜。</cp:lastModifiedBy>
  <cp:lastPrinted>2024-08-08T00:41:00Z</cp:lastPrinted>
  <dcterms:modified xsi:type="dcterms:W3CDTF">2025-05-19T04:29:37Z</dcterms:modified>
  <dc:title>广西瑞真工程造价咨询有限责任公司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910D40A3DEEB4444AA3516A8A6E891D5_13</vt:lpwstr>
  </property>
  <property fmtid="{D5CDD505-2E9C-101B-9397-08002B2CF9AE}" pid="4" name="KSOTemplateDocerSaveRecord">
    <vt:lpwstr>eyJoZGlkIjoiYTY3ZjkxOTE0YmE4MmVjNjVhNmJjYTczMjM3NTZlZGEiLCJ1c2VySWQiOiIzMDAxNDA4NjYifQ==</vt:lpwstr>
  </property>
</Properties>
</file>