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92728">
      <w:pPr>
        <w:pStyle w:val="3"/>
        <w:numPr>
          <w:ilvl w:val="0"/>
          <w:numId w:val="1"/>
        </w:numPr>
        <w:bidi w:val="0"/>
        <w:spacing w:line="480" w:lineRule="auto"/>
        <w:rPr>
          <w:rFonts w:hint="eastAsia" w:ascii="宋体" w:hAnsi="宋体" w:eastAsia="宋体" w:cs="宋体"/>
          <w:color w:val="auto"/>
          <w:sz w:val="30"/>
          <w:szCs w:val="30"/>
          <w:lang w:val="en-US"/>
        </w:rPr>
      </w:pPr>
      <w:r>
        <w:rPr>
          <w:rFonts w:hint="eastAsia" w:ascii="宋体" w:hAnsi="宋体" w:eastAsia="宋体" w:cs="宋体"/>
          <w:color w:val="auto"/>
          <w:sz w:val="30"/>
          <w:szCs w:val="30"/>
          <w:lang w:val="en-US" w:eastAsia="zh-CN"/>
        </w:rPr>
        <w:t>服务</w:t>
      </w:r>
      <w:r>
        <w:rPr>
          <w:rFonts w:hint="eastAsia" w:ascii="宋体" w:hAnsi="宋体" w:eastAsia="宋体" w:cs="宋体"/>
          <w:color w:val="auto"/>
          <w:sz w:val="30"/>
          <w:szCs w:val="30"/>
          <w:lang w:val="en-US"/>
        </w:rPr>
        <w:t>采购需求</w:t>
      </w:r>
    </w:p>
    <w:p w14:paraId="7DB44841">
      <w:pPr>
        <w:numPr>
          <w:ilvl w:val="-1"/>
          <w:numId w:val="0"/>
        </w:numPr>
        <w:rPr>
          <w:rFonts w:hint="eastAsia"/>
          <w:lang w:val="en-US"/>
        </w:rPr>
      </w:pPr>
      <w:r>
        <w:rPr>
          <w:rFonts w:hint="eastAsia" w:ascii="宋体" w:hAnsi="宋体"/>
          <w:b/>
          <w:sz w:val="24"/>
        </w:rPr>
        <w:t>说明：本“服务采购需求”中所有条款均为实质性要求，磋商时，必须满足，若有任意一项负偏离响应文件作无效处理。</w:t>
      </w:r>
    </w:p>
    <w:p w14:paraId="64BD8D4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一、项目编号：</w:t>
      </w:r>
      <w:r>
        <w:rPr>
          <w:rFonts w:hint="eastAsia"/>
          <w:color w:val="auto"/>
          <w:sz w:val="21"/>
          <w:szCs w:val="21"/>
          <w:highlight w:val="none"/>
          <w:lang w:eastAsia="zh-CN"/>
        </w:rPr>
        <w:t>GXRZBH-2025-008</w:t>
      </w:r>
    </w:p>
    <w:p w14:paraId="60F1492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二、项目类别：服务</w:t>
      </w:r>
      <w:r>
        <w:rPr>
          <w:rFonts w:hint="eastAsia" w:ascii="宋体" w:hAnsi="宋体" w:eastAsia="宋体" w:cs="宋体"/>
          <w:color w:val="auto"/>
          <w:sz w:val="21"/>
          <w:szCs w:val="21"/>
          <w:highlight w:val="none"/>
          <w:lang w:eastAsia="zh-CN"/>
        </w:rPr>
        <w:t>类</w:t>
      </w:r>
    </w:p>
    <w:p w14:paraId="460D331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三、采购控制价（人民币）：</w:t>
      </w:r>
      <w:r>
        <w:rPr>
          <w:rFonts w:hint="eastAsia"/>
          <w:color w:val="auto"/>
          <w:sz w:val="21"/>
          <w:szCs w:val="21"/>
          <w:highlight w:val="none"/>
          <w:lang w:val="en-US" w:eastAsia="zh-CN"/>
        </w:rPr>
        <w:t>贰拾玖万元整（¥290000.00元）</w:t>
      </w:r>
    </w:p>
    <w:p w14:paraId="1C44EF1A">
      <w:pP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四</w:t>
      </w:r>
      <w:r>
        <w:rPr>
          <w:rFonts w:hint="eastAsia" w:ascii="宋体" w:hAnsi="宋体" w:eastAsia="宋体" w:cs="宋体"/>
          <w:color w:val="auto"/>
          <w:sz w:val="21"/>
          <w:szCs w:val="21"/>
          <w:highlight w:val="none"/>
        </w:rPr>
        <w:t>、采购需求一览表</w:t>
      </w:r>
    </w:p>
    <w:tbl>
      <w:tblPr>
        <w:tblStyle w:val="7"/>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28"/>
        <w:gridCol w:w="429"/>
        <w:gridCol w:w="965"/>
        <w:gridCol w:w="6724"/>
      </w:tblGrid>
      <w:tr w14:paraId="20CE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161" w:type="dxa"/>
            <w:vAlign w:val="center"/>
          </w:tcPr>
          <w:p w14:paraId="49B4C02E">
            <w:pPr>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w:t>
            </w:r>
          </w:p>
          <w:p w14:paraId="76205026">
            <w:pPr>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vertAlign w:val="baseline"/>
                <w:lang w:eastAsia="zh-CN"/>
              </w:rPr>
            </w:pPr>
            <w:r>
              <w:rPr>
                <w:rFonts w:hint="eastAsia" w:cs="宋体"/>
                <w:b/>
                <w:bCs/>
                <w:color w:val="auto"/>
                <w:sz w:val="21"/>
                <w:szCs w:val="21"/>
                <w:highlight w:val="none"/>
                <w:lang w:val="en-US" w:eastAsia="zh-CN"/>
              </w:rPr>
              <w:t>名称</w:t>
            </w:r>
          </w:p>
        </w:tc>
        <w:tc>
          <w:tcPr>
            <w:tcW w:w="435" w:type="dxa"/>
            <w:vAlign w:val="center"/>
          </w:tcPr>
          <w:p w14:paraId="54899749">
            <w:pPr>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数量</w:t>
            </w:r>
          </w:p>
        </w:tc>
        <w:tc>
          <w:tcPr>
            <w:tcW w:w="435" w:type="dxa"/>
            <w:vAlign w:val="center"/>
          </w:tcPr>
          <w:p w14:paraId="1B444134">
            <w:pPr>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vertAlign w:val="baseline"/>
              </w:rPr>
            </w:pPr>
            <w:r>
              <w:rPr>
                <w:rFonts w:hint="eastAsia" w:ascii="宋体" w:hAnsi="宋体" w:eastAsia="宋体" w:cs="宋体"/>
                <w:b/>
                <w:bCs/>
                <w:color w:val="auto"/>
                <w:sz w:val="21"/>
                <w:szCs w:val="21"/>
                <w:highlight w:val="none"/>
              </w:rPr>
              <w:t>单位</w:t>
            </w:r>
          </w:p>
        </w:tc>
        <w:tc>
          <w:tcPr>
            <w:tcW w:w="7781" w:type="dxa"/>
            <w:gridSpan w:val="2"/>
            <w:vAlign w:val="center"/>
          </w:tcPr>
          <w:p w14:paraId="7EB25E4E">
            <w:pPr>
              <w:adjustRightInd w:val="0"/>
              <w:snapToGrid w:val="0"/>
              <w:spacing w:before="0" w:beforeAutospacing="0" w:after="0" w:afterAutospacing="0"/>
              <w:ind w:left="0" w:right="0"/>
              <w:jc w:val="center"/>
              <w:rPr>
                <w:rFonts w:hint="eastAsia" w:ascii="宋体" w:hAnsi="宋体" w:eastAsia="宋体" w:cs="宋体"/>
                <w:b/>
                <w:bCs/>
                <w:color w:val="auto"/>
                <w:sz w:val="21"/>
                <w:szCs w:val="21"/>
                <w:highlight w:val="none"/>
                <w:vertAlign w:val="baseline"/>
              </w:rPr>
            </w:pPr>
            <w:r>
              <w:rPr>
                <w:rFonts w:hint="eastAsia" w:ascii="宋体" w:hAnsi="宋体"/>
                <w:b/>
                <w:kern w:val="21"/>
                <w:szCs w:val="21"/>
              </w:rPr>
              <w:t>服务内容及相关要求</w:t>
            </w:r>
            <w:r>
              <w:rPr>
                <w:rFonts w:hint="eastAsia" w:ascii="宋体" w:hAnsi="宋体" w:eastAsia="宋体" w:cs="宋体"/>
                <w:b/>
                <w:bCs/>
                <w:color w:val="auto"/>
                <w:sz w:val="21"/>
                <w:szCs w:val="21"/>
                <w:highlight w:val="none"/>
                <w:lang w:val="en-US" w:eastAsia="zh-CN"/>
              </w:rPr>
              <w:t>（技术部分）</w:t>
            </w:r>
          </w:p>
        </w:tc>
      </w:tr>
      <w:tr w14:paraId="44C2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161" w:type="dxa"/>
            <w:vAlign w:val="center"/>
          </w:tcPr>
          <w:p w14:paraId="5DA0FE60">
            <w:pPr>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p>
          <w:p w14:paraId="638A6877">
            <w:pPr>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cs="宋体"/>
                <w:color w:val="auto"/>
                <w:sz w:val="21"/>
                <w:szCs w:val="21"/>
                <w:highlight w:val="none"/>
                <w:lang w:val="en-US" w:eastAsia="zh-CN"/>
              </w:rPr>
              <w:t>2025—2026年度北海市区控市级环境空气和大气降水自动监测站运行维护服务</w:t>
            </w:r>
          </w:p>
        </w:tc>
        <w:tc>
          <w:tcPr>
            <w:tcW w:w="435" w:type="dxa"/>
            <w:vAlign w:val="center"/>
          </w:tcPr>
          <w:p w14:paraId="3620C757">
            <w:pPr>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1</w:t>
            </w:r>
          </w:p>
        </w:tc>
        <w:tc>
          <w:tcPr>
            <w:tcW w:w="435" w:type="dxa"/>
            <w:vAlign w:val="center"/>
          </w:tcPr>
          <w:p w14:paraId="18295521">
            <w:pPr>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项</w:t>
            </w:r>
          </w:p>
        </w:tc>
        <w:tc>
          <w:tcPr>
            <w:tcW w:w="7781" w:type="dxa"/>
            <w:gridSpan w:val="2"/>
            <w:vAlign w:val="center"/>
          </w:tcPr>
          <w:p w14:paraId="05D28CD5">
            <w:pPr>
              <w:numPr>
                <w:ilvl w:val="-1"/>
                <w:numId w:val="0"/>
              </w:numPr>
              <w:overflowPunct w:val="0"/>
              <w:spacing w:before="0" w:beforeAutospacing="0" w:after="0" w:afterAutospacing="0" w:line="360" w:lineRule="auto"/>
              <w:ind w:left="440" w:leftChars="200" w:right="0" w:firstLine="0" w:firstLineChars="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项目背景</w:t>
            </w:r>
          </w:p>
          <w:p w14:paraId="5F66A42E">
            <w:pPr>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北海市设有</w:t>
            </w:r>
            <w:r>
              <w:rPr>
                <w:rFonts w:hint="eastAsia" w:ascii="宋体" w:hAnsi="宋体" w:eastAsia="宋体" w:cs="宋体"/>
                <w:color w:val="auto"/>
                <w:kern w:val="0"/>
                <w:sz w:val="24"/>
                <w:szCs w:val="24"/>
              </w:rPr>
              <w:t>牛尾岭水库</w:t>
            </w:r>
            <w:r>
              <w:rPr>
                <w:rFonts w:hint="eastAsia" w:ascii="宋体" w:hAnsi="宋体" w:eastAsia="宋体" w:cs="宋体"/>
                <w:color w:val="auto"/>
                <w:kern w:val="0"/>
                <w:sz w:val="24"/>
                <w:szCs w:val="24"/>
                <w:lang w:val="en-US" w:eastAsia="zh-CN"/>
              </w:rPr>
              <w:t>清洁对照点、</w:t>
            </w:r>
            <w:r>
              <w:rPr>
                <w:rFonts w:hint="eastAsia" w:ascii="宋体" w:hAnsi="宋体" w:eastAsia="宋体" w:cs="宋体"/>
                <w:color w:val="auto"/>
                <w:kern w:val="0"/>
                <w:sz w:val="24"/>
                <w:szCs w:val="24"/>
              </w:rPr>
              <w:t>新市环保局非甲烷总烃</w:t>
            </w:r>
            <w:r>
              <w:rPr>
                <w:rFonts w:hint="eastAsia" w:ascii="宋体" w:hAnsi="宋体" w:eastAsia="宋体" w:cs="宋体"/>
                <w:color w:val="auto"/>
                <w:sz w:val="24"/>
                <w:szCs w:val="24"/>
                <w:lang w:val="en-US" w:eastAsia="zh-CN"/>
              </w:rPr>
              <w:t>2个</w:t>
            </w:r>
            <w:r>
              <w:rPr>
                <w:rFonts w:hint="eastAsia" w:ascii="宋体" w:hAnsi="宋体" w:eastAsia="宋体" w:cs="宋体"/>
                <w:color w:val="auto"/>
                <w:sz w:val="24"/>
                <w:szCs w:val="24"/>
                <w:lang w:eastAsia="zh-CN"/>
              </w:rPr>
              <w:t>区控市级环境空气质量</w:t>
            </w:r>
            <w:r>
              <w:rPr>
                <w:rFonts w:hint="eastAsia" w:ascii="宋体" w:hAnsi="宋体" w:eastAsia="宋体" w:cs="宋体"/>
                <w:color w:val="auto"/>
                <w:kern w:val="0"/>
                <w:sz w:val="24"/>
                <w:szCs w:val="24"/>
                <w:lang w:val="en-US" w:eastAsia="zh-CN"/>
              </w:rPr>
              <w:t>和</w:t>
            </w:r>
            <w:r>
              <w:rPr>
                <w:rFonts w:hint="eastAsia" w:ascii="宋体" w:hAnsi="宋体" w:eastAsia="宋体" w:cs="宋体"/>
                <w:color w:val="auto"/>
                <w:kern w:val="0"/>
                <w:sz w:val="24"/>
                <w:szCs w:val="24"/>
              </w:rPr>
              <w:t>牛尾岭水库</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龙潭水厂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新市环保局</w:t>
            </w:r>
            <w:r>
              <w:rPr>
                <w:rFonts w:hint="eastAsia" w:ascii="宋体" w:hAnsi="宋体" w:eastAsia="宋体" w:cs="宋体"/>
                <w:color w:val="auto"/>
                <w:kern w:val="0"/>
                <w:sz w:val="24"/>
                <w:szCs w:val="24"/>
                <w:lang w:val="en-US" w:eastAsia="zh-CN"/>
              </w:rPr>
              <w:t>和</w:t>
            </w:r>
            <w:r>
              <w:rPr>
                <w:rFonts w:hint="eastAsia" w:ascii="宋体" w:hAnsi="宋体" w:eastAsia="宋体" w:cs="宋体"/>
                <w:color w:val="auto"/>
                <w:kern w:val="0"/>
                <w:sz w:val="24"/>
                <w:szCs w:val="24"/>
              </w:rPr>
              <w:t>北海工业园</w:t>
            </w:r>
            <w:r>
              <w:rPr>
                <w:rFonts w:hint="eastAsia" w:ascii="宋体" w:hAnsi="宋体" w:eastAsia="宋体" w:cs="宋体"/>
                <w:color w:val="auto"/>
                <w:sz w:val="24"/>
                <w:szCs w:val="24"/>
                <w:lang w:val="en-US" w:eastAsia="zh-CN"/>
              </w:rPr>
              <w:t>4个大气降水</w:t>
            </w:r>
            <w:r>
              <w:rPr>
                <w:rFonts w:hint="eastAsia" w:ascii="宋体" w:hAnsi="宋体" w:eastAsia="宋体" w:cs="宋体"/>
                <w:color w:val="auto"/>
                <w:sz w:val="24"/>
                <w:szCs w:val="24"/>
                <w:lang w:eastAsia="zh-CN"/>
              </w:rPr>
              <w:t>自动监测站，日常运行维护为</w:t>
            </w:r>
            <w:r>
              <w:rPr>
                <w:rFonts w:hint="eastAsia" w:ascii="宋体" w:hAnsi="宋体" w:eastAsia="宋体" w:cs="宋体"/>
                <w:color w:val="auto"/>
                <w:sz w:val="24"/>
                <w:szCs w:val="24"/>
                <w:lang w:val="en-US" w:eastAsia="zh-CN"/>
              </w:rPr>
              <w:t>广西壮族</w:t>
            </w:r>
            <w:r>
              <w:rPr>
                <w:rFonts w:hint="eastAsia" w:ascii="宋体" w:hAnsi="宋体" w:eastAsia="宋体" w:cs="宋体"/>
                <w:color w:val="auto"/>
                <w:sz w:val="24"/>
                <w:szCs w:val="24"/>
                <w:lang w:eastAsia="zh-CN"/>
              </w:rPr>
              <w:t>自治区</w:t>
            </w:r>
            <w:r>
              <w:rPr>
                <w:rFonts w:hint="eastAsia" w:ascii="宋体" w:hAnsi="宋体" w:eastAsia="宋体" w:cs="宋体"/>
                <w:color w:val="auto"/>
                <w:sz w:val="24"/>
                <w:szCs w:val="24"/>
                <w:lang w:val="en-US" w:eastAsia="zh-CN"/>
              </w:rPr>
              <w:t>生态环境厅</w:t>
            </w:r>
            <w:r>
              <w:rPr>
                <w:rFonts w:hint="eastAsia" w:ascii="宋体" w:hAnsi="宋体" w:eastAsia="宋体" w:cs="宋体"/>
                <w:color w:val="auto"/>
                <w:sz w:val="24"/>
                <w:szCs w:val="24"/>
                <w:lang w:eastAsia="zh-CN"/>
              </w:rPr>
              <w:t>事权，</w:t>
            </w:r>
            <w:r>
              <w:rPr>
                <w:rFonts w:hint="eastAsia" w:ascii="宋体" w:hAnsi="宋体" w:eastAsia="宋体" w:cs="宋体"/>
                <w:color w:val="auto"/>
                <w:sz w:val="24"/>
                <w:szCs w:val="24"/>
                <w:lang w:val="en-US" w:eastAsia="zh-CN"/>
              </w:rPr>
              <w:t>广西壮族</w:t>
            </w:r>
            <w:r>
              <w:rPr>
                <w:rFonts w:hint="eastAsia" w:ascii="宋体" w:hAnsi="宋体" w:eastAsia="宋体" w:cs="宋体"/>
                <w:color w:val="auto"/>
                <w:sz w:val="24"/>
                <w:szCs w:val="24"/>
                <w:lang w:eastAsia="zh-CN"/>
              </w:rPr>
              <w:t>自治区</w:t>
            </w:r>
            <w:r>
              <w:rPr>
                <w:rFonts w:hint="eastAsia" w:ascii="宋体" w:hAnsi="宋体" w:eastAsia="宋体" w:cs="宋体"/>
                <w:color w:val="auto"/>
                <w:sz w:val="24"/>
                <w:szCs w:val="24"/>
                <w:lang w:val="en-US" w:eastAsia="zh-CN"/>
              </w:rPr>
              <w:t>北海生态环境</w:t>
            </w:r>
            <w:r>
              <w:rPr>
                <w:rFonts w:hint="eastAsia" w:ascii="宋体" w:hAnsi="宋体" w:eastAsia="宋体" w:cs="宋体"/>
                <w:color w:val="auto"/>
                <w:sz w:val="24"/>
                <w:szCs w:val="24"/>
                <w:lang w:eastAsia="zh-CN"/>
              </w:rPr>
              <w:t>监测中心</w:t>
            </w:r>
            <w:r>
              <w:rPr>
                <w:rFonts w:hint="eastAsia" w:ascii="宋体" w:hAnsi="宋体" w:eastAsia="宋体" w:cs="宋体"/>
                <w:color w:val="auto"/>
                <w:sz w:val="24"/>
                <w:szCs w:val="24"/>
                <w:lang w:val="en-US" w:eastAsia="zh-CN"/>
              </w:rPr>
              <w:t>根据要求</w:t>
            </w:r>
            <w:r>
              <w:rPr>
                <w:rFonts w:hint="eastAsia" w:ascii="宋体" w:hAnsi="宋体" w:eastAsia="宋体" w:cs="宋体"/>
                <w:color w:val="auto"/>
                <w:sz w:val="24"/>
                <w:szCs w:val="24"/>
                <w:lang w:eastAsia="zh-CN"/>
              </w:rPr>
              <w:t>委托社会化运维机构承担，</w:t>
            </w:r>
            <w:r>
              <w:rPr>
                <w:rFonts w:hint="eastAsia" w:ascii="宋体" w:hAnsi="宋体" w:eastAsia="宋体" w:cs="宋体"/>
                <w:color w:val="auto"/>
                <w:sz w:val="24"/>
                <w:szCs w:val="24"/>
                <w:lang w:val="en-US" w:eastAsia="zh-CN"/>
              </w:rPr>
              <w:t>并</w:t>
            </w:r>
            <w:r>
              <w:rPr>
                <w:rFonts w:hint="eastAsia" w:ascii="宋体" w:hAnsi="宋体" w:eastAsia="宋体" w:cs="宋体"/>
                <w:color w:val="auto"/>
                <w:sz w:val="24"/>
                <w:szCs w:val="24"/>
                <w:lang w:eastAsia="zh-CN"/>
              </w:rPr>
              <w:t>配合</w:t>
            </w:r>
            <w:r>
              <w:rPr>
                <w:rFonts w:hint="eastAsia" w:ascii="宋体" w:hAnsi="宋体" w:eastAsia="宋体" w:cs="宋体"/>
                <w:color w:val="auto"/>
                <w:sz w:val="24"/>
                <w:szCs w:val="24"/>
                <w:lang w:val="en-US" w:eastAsia="zh-CN"/>
              </w:rPr>
              <w:t>广西壮族</w:t>
            </w:r>
            <w:r>
              <w:rPr>
                <w:rFonts w:hint="eastAsia" w:ascii="宋体" w:hAnsi="宋体" w:eastAsia="宋体" w:cs="宋体"/>
                <w:color w:val="auto"/>
                <w:sz w:val="24"/>
                <w:szCs w:val="24"/>
                <w:lang w:eastAsia="zh-CN"/>
              </w:rPr>
              <w:t>自治区生态环境监测中心开展辖区内区控市级</w:t>
            </w:r>
            <w:r>
              <w:rPr>
                <w:rFonts w:hint="eastAsia" w:ascii="宋体" w:hAnsi="宋体" w:eastAsia="宋体" w:cs="宋体"/>
                <w:color w:val="auto"/>
                <w:sz w:val="24"/>
                <w:szCs w:val="24"/>
                <w:lang w:val="en-US" w:eastAsia="zh-CN"/>
              </w:rPr>
              <w:t>环境</w:t>
            </w:r>
            <w:r>
              <w:rPr>
                <w:rFonts w:hint="eastAsia" w:ascii="宋体" w:hAnsi="宋体" w:eastAsia="宋体" w:cs="宋体"/>
                <w:color w:val="auto"/>
                <w:sz w:val="24"/>
                <w:szCs w:val="24"/>
                <w:lang w:eastAsia="zh-CN"/>
              </w:rPr>
              <w:t>空气</w:t>
            </w:r>
            <w:r>
              <w:rPr>
                <w:rFonts w:hint="eastAsia" w:ascii="宋体" w:hAnsi="宋体" w:eastAsia="宋体" w:cs="宋体"/>
                <w:color w:val="auto"/>
                <w:sz w:val="24"/>
                <w:szCs w:val="24"/>
                <w:lang w:val="en-US" w:eastAsia="zh-CN"/>
              </w:rPr>
              <w:t>和大气降水</w:t>
            </w:r>
            <w:r>
              <w:rPr>
                <w:rFonts w:hint="eastAsia" w:ascii="宋体" w:hAnsi="宋体" w:eastAsia="宋体" w:cs="宋体"/>
                <w:color w:val="auto"/>
                <w:sz w:val="24"/>
                <w:szCs w:val="24"/>
                <w:lang w:eastAsia="zh-CN"/>
              </w:rPr>
              <w:t>自动监测站的</w:t>
            </w:r>
            <w:r>
              <w:rPr>
                <w:rFonts w:hint="eastAsia" w:ascii="宋体" w:hAnsi="宋体" w:eastAsia="宋体" w:cs="宋体"/>
                <w:color w:val="auto"/>
                <w:sz w:val="24"/>
                <w:szCs w:val="24"/>
                <w:lang w:val="en-US" w:eastAsia="zh-CN"/>
              </w:rPr>
              <w:t>质量</w:t>
            </w:r>
            <w:r>
              <w:rPr>
                <w:rFonts w:hint="eastAsia" w:ascii="宋体" w:hAnsi="宋体" w:eastAsia="宋体" w:cs="宋体"/>
                <w:color w:val="auto"/>
                <w:sz w:val="24"/>
                <w:szCs w:val="24"/>
                <w:lang w:eastAsia="zh-CN"/>
              </w:rPr>
              <w:t>检查工作，</w:t>
            </w:r>
            <w:r>
              <w:rPr>
                <w:rFonts w:hint="eastAsia" w:ascii="宋体" w:hAnsi="宋体" w:eastAsia="宋体" w:cs="宋体"/>
                <w:color w:val="auto"/>
                <w:sz w:val="24"/>
                <w:szCs w:val="24"/>
                <w:lang w:val="en-US" w:eastAsia="zh-CN"/>
              </w:rPr>
              <w:t>确保运维质量，</w:t>
            </w:r>
            <w:r>
              <w:rPr>
                <w:rFonts w:hint="eastAsia" w:ascii="宋体" w:hAnsi="宋体" w:eastAsia="宋体" w:cs="宋体"/>
                <w:color w:val="auto"/>
                <w:kern w:val="0"/>
                <w:sz w:val="24"/>
                <w:szCs w:val="24"/>
                <w:lang w:val="en-US" w:eastAsia="zh-CN"/>
              </w:rPr>
              <w:t>达到国家总站、</w:t>
            </w:r>
            <w:r>
              <w:rPr>
                <w:rFonts w:hint="eastAsia" w:ascii="宋体" w:hAnsi="宋体" w:eastAsia="宋体" w:cs="宋体"/>
                <w:color w:val="auto"/>
                <w:sz w:val="24"/>
                <w:szCs w:val="24"/>
                <w:lang w:val="en-US" w:eastAsia="zh-CN"/>
              </w:rPr>
              <w:t>广西壮族</w:t>
            </w:r>
            <w:r>
              <w:rPr>
                <w:rFonts w:hint="eastAsia" w:ascii="宋体" w:hAnsi="宋体" w:eastAsia="宋体" w:cs="宋体"/>
                <w:color w:val="auto"/>
                <w:kern w:val="0"/>
                <w:sz w:val="24"/>
                <w:szCs w:val="24"/>
                <w:lang w:val="en-US" w:eastAsia="zh-CN"/>
              </w:rPr>
              <w:t>自治区生态环境监测中心的绩效考核指标要求</w:t>
            </w:r>
            <w:r>
              <w:rPr>
                <w:rFonts w:hint="eastAsia" w:ascii="宋体" w:hAnsi="宋体" w:eastAsia="宋体" w:cs="宋体"/>
                <w:color w:val="auto"/>
                <w:sz w:val="24"/>
                <w:szCs w:val="24"/>
                <w:lang w:eastAsia="zh-CN"/>
              </w:rPr>
              <w:t>。</w:t>
            </w:r>
          </w:p>
          <w:p w14:paraId="02CC9B33">
            <w:pPr>
              <w:overflowPunct w:val="0"/>
              <w:spacing w:before="0" w:beforeAutospacing="0" w:after="0" w:afterAutospacing="0" w:line="530" w:lineRule="exact"/>
              <w:ind w:left="0" w:right="0" w:firstLine="562" w:firstLineChars="200"/>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项目需求</w:t>
            </w:r>
          </w:p>
          <w:p w14:paraId="24E354E9">
            <w:pPr>
              <w:keepNext w:val="0"/>
              <w:keepLines w:val="0"/>
              <w:pageBreakBefore w:val="0"/>
              <w:kinsoku/>
              <w:wordWrap/>
              <w:topLinePunct w:val="0"/>
              <w:bidi w:val="0"/>
              <w:adjustRightInd/>
              <w:snapToGrid/>
              <w:spacing w:before="0" w:beforeAutospacing="0" w:after="0" w:afterAutospacing="0" w:line="520" w:lineRule="exact"/>
              <w:ind w:left="0" w:right="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（一）运维服务内容</w:t>
            </w:r>
          </w:p>
          <w:p w14:paraId="72D82FEB">
            <w:pPr>
              <w:keepNext w:val="0"/>
              <w:keepLines w:val="0"/>
              <w:pageBreakBefore w:val="0"/>
              <w:kinsoku/>
              <w:wordWrap/>
              <w:topLinePunct w:val="0"/>
              <w:bidi w:val="0"/>
              <w:adjustRightInd/>
              <w:snapToGrid/>
              <w:spacing w:before="0" w:beforeAutospacing="0" w:after="0" w:afterAutospacing="0" w:line="520" w:lineRule="exact"/>
              <w:ind w:left="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kern w:val="0"/>
                <w:sz w:val="24"/>
                <w:szCs w:val="24"/>
              </w:rPr>
              <w:t>依据《环境空气颗粒物（PM10和 PM2.5）连续自动监测系统运行和质控技术规范》（HJ 817–2018）、《环境空气气态污染物（SO2、NO2、O3、CO）连续自动监测系统运行和质控技术规范》（HJ 818–2018）</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《环境空气挥发性有机物自动监测数据联网工作要求》及《环境空气挥发性有机物自动监测数据联网技术规定》</w:t>
            </w:r>
            <w:r>
              <w:rPr>
                <w:rFonts w:hint="eastAsia" w:ascii="宋体" w:hAnsi="宋体" w:eastAsia="宋体" w:cs="宋体"/>
                <w:color w:val="auto"/>
                <w:kern w:val="0"/>
                <w:sz w:val="24"/>
                <w:szCs w:val="24"/>
                <w:lang w:val="en-US" w:eastAsia="zh-CN"/>
              </w:rPr>
              <w:t>等相关大气自动监测标准规范</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对</w:t>
            </w:r>
            <w:r>
              <w:rPr>
                <w:rFonts w:hint="eastAsia" w:ascii="宋体" w:hAnsi="宋体" w:eastAsia="宋体" w:cs="宋体"/>
                <w:b w:val="0"/>
                <w:bCs w:val="0"/>
                <w:color w:val="auto"/>
                <w:sz w:val="24"/>
                <w:szCs w:val="24"/>
                <w:lang w:eastAsia="zh-CN"/>
              </w:rPr>
              <w:t>北海市</w:t>
            </w:r>
            <w:r>
              <w:rPr>
                <w:rFonts w:hint="eastAsia" w:ascii="宋体" w:hAnsi="宋体" w:eastAsia="宋体" w:cs="宋体"/>
                <w:b w:val="0"/>
                <w:bCs w:val="0"/>
                <w:color w:val="auto"/>
                <w:sz w:val="24"/>
                <w:szCs w:val="24"/>
                <w:lang w:val="en-US" w:eastAsia="zh-CN"/>
              </w:rPr>
              <w:t>两个区控市级城市</w:t>
            </w:r>
            <w:r>
              <w:rPr>
                <w:rFonts w:hint="eastAsia" w:ascii="宋体" w:hAnsi="宋体" w:eastAsia="宋体" w:cs="宋体"/>
                <w:color w:val="auto"/>
                <w:sz w:val="24"/>
                <w:szCs w:val="24"/>
                <w:lang w:val="en-US" w:eastAsia="zh-CN"/>
              </w:rPr>
              <w:t>环境空气</w:t>
            </w:r>
            <w:r>
              <w:rPr>
                <w:rFonts w:hint="eastAsia" w:ascii="宋体" w:hAnsi="宋体" w:eastAsia="宋体" w:cs="宋体"/>
                <w:color w:val="auto"/>
                <w:sz w:val="24"/>
                <w:szCs w:val="24"/>
              </w:rPr>
              <w:t>自动监测</w:t>
            </w:r>
            <w:r>
              <w:rPr>
                <w:rFonts w:hint="eastAsia" w:ascii="宋体" w:hAnsi="宋体" w:eastAsia="宋体" w:cs="宋体"/>
                <w:color w:val="auto"/>
                <w:sz w:val="24"/>
                <w:szCs w:val="24"/>
                <w:lang w:eastAsia="zh-CN"/>
              </w:rPr>
              <w:t>点位</w:t>
            </w:r>
            <w:r>
              <w:rPr>
                <w:rFonts w:hint="eastAsia" w:ascii="宋体" w:hAnsi="宋体" w:eastAsia="宋体" w:cs="宋体"/>
                <w:color w:val="auto"/>
                <w:sz w:val="24"/>
                <w:szCs w:val="24"/>
                <w:lang w:val="en-US" w:eastAsia="zh-CN"/>
              </w:rPr>
              <w:t>所有</w:t>
            </w:r>
            <w:r>
              <w:rPr>
                <w:rFonts w:hint="eastAsia" w:ascii="宋体" w:hAnsi="宋体" w:eastAsia="宋体" w:cs="宋体"/>
                <w:color w:val="auto"/>
                <w:sz w:val="24"/>
                <w:szCs w:val="24"/>
                <w:lang w:eastAsia="zh-CN"/>
              </w:rPr>
              <w:t>自动监测</w:t>
            </w:r>
            <w:r>
              <w:rPr>
                <w:rFonts w:hint="eastAsia" w:ascii="宋体" w:hAnsi="宋体" w:eastAsia="宋体" w:cs="宋体"/>
                <w:color w:val="auto"/>
                <w:sz w:val="24"/>
                <w:szCs w:val="24"/>
                <w:lang w:val="en-US" w:eastAsia="zh-CN"/>
              </w:rPr>
              <w:t>设备的</w:t>
            </w:r>
            <w:r>
              <w:rPr>
                <w:rFonts w:hint="eastAsia" w:ascii="宋体" w:hAnsi="宋体" w:eastAsia="宋体" w:cs="宋体"/>
                <w:color w:val="auto"/>
                <w:kern w:val="0"/>
                <w:sz w:val="24"/>
                <w:szCs w:val="24"/>
              </w:rPr>
              <w:t>日常维护</w:t>
            </w:r>
            <w:r>
              <w:rPr>
                <w:rFonts w:hint="eastAsia" w:ascii="宋体" w:hAnsi="宋体" w:eastAsia="宋体" w:cs="宋体"/>
                <w:color w:val="auto"/>
                <w:sz w:val="24"/>
                <w:szCs w:val="24"/>
                <w:lang w:eastAsia="zh-CN"/>
              </w:rPr>
              <w:t>保养</w:t>
            </w:r>
            <w:r>
              <w:rPr>
                <w:rFonts w:hint="eastAsia" w:ascii="宋体" w:hAnsi="宋体" w:eastAsia="宋体" w:cs="宋体"/>
                <w:color w:val="auto"/>
                <w:kern w:val="0"/>
                <w:sz w:val="24"/>
                <w:szCs w:val="24"/>
              </w:rPr>
              <w:t>、质量控制、故障维修、年度检修与预防性维护、</w:t>
            </w:r>
            <w:r>
              <w:rPr>
                <w:rFonts w:hint="eastAsia" w:ascii="宋体" w:hAnsi="宋体" w:eastAsia="宋体" w:cs="宋体"/>
                <w:color w:val="auto"/>
                <w:kern w:val="0"/>
                <w:sz w:val="24"/>
                <w:szCs w:val="24"/>
                <w:lang w:val="en-US" w:eastAsia="zh-CN"/>
              </w:rPr>
              <w:t>设备</w:t>
            </w:r>
            <w:r>
              <w:rPr>
                <w:rFonts w:hint="eastAsia" w:ascii="宋体" w:hAnsi="宋体" w:eastAsia="宋体" w:cs="宋体"/>
                <w:color w:val="auto"/>
                <w:kern w:val="0"/>
                <w:sz w:val="24"/>
                <w:szCs w:val="24"/>
              </w:rPr>
              <w:t>检定、数据审核上报</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异常情况汇报、运维档案管理</w:t>
            </w:r>
            <w:r>
              <w:rPr>
                <w:rFonts w:hint="eastAsia" w:ascii="宋体" w:hAnsi="宋体" w:eastAsia="宋体" w:cs="宋体"/>
                <w:color w:val="auto"/>
                <w:kern w:val="0"/>
                <w:sz w:val="24"/>
                <w:szCs w:val="24"/>
              </w:rPr>
              <w:t>等</w:t>
            </w:r>
            <w:r>
              <w:rPr>
                <w:rFonts w:hint="eastAsia" w:ascii="宋体" w:hAnsi="宋体" w:eastAsia="宋体" w:cs="宋体"/>
                <w:color w:val="auto"/>
                <w:kern w:val="0"/>
                <w:sz w:val="24"/>
                <w:szCs w:val="24"/>
                <w:lang w:val="en-US" w:eastAsia="zh-CN"/>
              </w:rPr>
              <w:t>自动监测全流程</w:t>
            </w:r>
            <w:r>
              <w:rPr>
                <w:rFonts w:hint="eastAsia" w:ascii="宋体" w:hAnsi="宋体" w:eastAsia="宋体" w:cs="宋体"/>
                <w:color w:val="auto"/>
                <w:kern w:val="0"/>
                <w:sz w:val="24"/>
                <w:szCs w:val="24"/>
              </w:rPr>
              <w:t>工作</w:t>
            </w:r>
            <w:r>
              <w:rPr>
                <w:rFonts w:hint="eastAsia" w:ascii="宋体" w:hAnsi="宋体" w:eastAsia="宋体" w:cs="宋体"/>
                <w:color w:val="auto"/>
                <w:sz w:val="24"/>
                <w:szCs w:val="24"/>
                <w:lang w:val="en-US" w:eastAsia="zh-CN"/>
              </w:rPr>
              <w:t>开展运维服务</w:t>
            </w:r>
            <w:r>
              <w:rPr>
                <w:rFonts w:hint="eastAsia" w:ascii="宋体" w:hAnsi="宋体" w:eastAsia="宋体" w:cs="宋体"/>
                <w:color w:val="auto"/>
                <w:kern w:val="0"/>
                <w:sz w:val="24"/>
                <w:szCs w:val="24"/>
              </w:rPr>
              <w:t>，承担标准气体购买、站房</w:t>
            </w:r>
            <w:r>
              <w:rPr>
                <w:rFonts w:hint="eastAsia" w:ascii="宋体" w:hAnsi="宋体" w:eastAsia="宋体" w:cs="宋体"/>
                <w:color w:val="auto"/>
                <w:kern w:val="0"/>
                <w:sz w:val="24"/>
                <w:szCs w:val="24"/>
                <w:lang w:val="en-US" w:eastAsia="zh-CN"/>
              </w:rPr>
              <w:t>日常卫生和维修</w:t>
            </w:r>
            <w:r>
              <w:rPr>
                <w:rFonts w:hint="eastAsia" w:ascii="宋体" w:hAnsi="宋体" w:eastAsia="宋体" w:cs="宋体"/>
                <w:color w:val="auto"/>
                <w:kern w:val="0"/>
                <w:sz w:val="24"/>
                <w:szCs w:val="24"/>
              </w:rPr>
              <w:t>维护、</w:t>
            </w:r>
            <w:r>
              <w:rPr>
                <w:rFonts w:hint="eastAsia" w:ascii="宋体" w:hAnsi="宋体" w:eastAsia="宋体" w:cs="宋体"/>
                <w:color w:val="auto"/>
                <w:kern w:val="0"/>
                <w:sz w:val="24"/>
                <w:szCs w:val="24"/>
                <w:lang w:val="en-US" w:eastAsia="zh-CN"/>
              </w:rPr>
              <w:t>防雷检定、</w:t>
            </w:r>
            <w:r>
              <w:rPr>
                <w:rFonts w:hint="eastAsia" w:ascii="宋体" w:hAnsi="宋体" w:eastAsia="宋体" w:cs="宋体"/>
                <w:color w:val="auto"/>
                <w:kern w:val="0"/>
                <w:sz w:val="24"/>
                <w:szCs w:val="24"/>
              </w:rPr>
              <w:t>电力和网络通讯费用。运维工作要确保各项监测仪器正常稳定</w:t>
            </w:r>
            <w:r>
              <w:rPr>
                <w:rFonts w:hint="eastAsia" w:ascii="宋体" w:hAnsi="宋体" w:eastAsia="宋体" w:cs="宋体"/>
                <w:color w:val="auto"/>
                <w:kern w:val="0"/>
                <w:sz w:val="24"/>
                <w:szCs w:val="24"/>
                <w:lang w:val="en-US" w:eastAsia="zh-CN"/>
              </w:rPr>
              <w:t>有效</w:t>
            </w:r>
            <w:r>
              <w:rPr>
                <w:rFonts w:hint="eastAsia" w:ascii="宋体" w:hAnsi="宋体" w:eastAsia="宋体" w:cs="宋体"/>
                <w:color w:val="auto"/>
                <w:kern w:val="0"/>
                <w:sz w:val="24"/>
                <w:szCs w:val="24"/>
              </w:rPr>
              <w:t>运行</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监测数据真、准、全，</w:t>
            </w:r>
            <w:r>
              <w:rPr>
                <w:rFonts w:hint="eastAsia" w:ascii="宋体" w:hAnsi="宋体" w:eastAsia="宋体" w:cs="宋体"/>
                <w:color w:val="auto"/>
                <w:kern w:val="0"/>
                <w:sz w:val="24"/>
                <w:szCs w:val="24"/>
              </w:rPr>
              <w:t>并与国家、自治区生态环境部门联网正常</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达到国家总站、自治区生态环境监测中心的绩效</w:t>
            </w:r>
            <w:r>
              <w:rPr>
                <w:rFonts w:hint="eastAsia" w:ascii="宋体" w:hAnsi="宋体" w:eastAsia="宋体" w:cs="宋体"/>
                <w:b w:val="0"/>
                <w:bCs w:val="0"/>
                <w:color w:val="auto"/>
                <w:sz w:val="24"/>
                <w:szCs w:val="24"/>
                <w:lang w:val="en-US" w:eastAsia="zh-CN"/>
              </w:rPr>
              <w:t>考核指标要求</w:t>
            </w:r>
            <w:r>
              <w:rPr>
                <w:rFonts w:hint="eastAsia" w:ascii="宋体" w:hAnsi="宋体" w:eastAsia="宋体" w:cs="宋体"/>
                <w:color w:val="auto"/>
                <w:kern w:val="0"/>
                <w:sz w:val="24"/>
                <w:szCs w:val="24"/>
              </w:rPr>
              <w:t>，接受</w:t>
            </w:r>
            <w:r>
              <w:rPr>
                <w:rFonts w:hint="eastAsia" w:ascii="宋体" w:hAnsi="宋体" w:eastAsia="宋体" w:cs="宋体"/>
                <w:color w:val="auto"/>
                <w:kern w:val="0"/>
                <w:sz w:val="24"/>
                <w:szCs w:val="24"/>
                <w:lang w:val="en-US" w:eastAsia="zh-CN"/>
              </w:rPr>
              <w:t>广西壮族自治区北海生态环境监测中心（以下简称“北海中心”）</w:t>
            </w:r>
            <w:r>
              <w:rPr>
                <w:rFonts w:hint="eastAsia" w:ascii="宋体" w:hAnsi="宋体" w:eastAsia="宋体" w:cs="宋体"/>
                <w:color w:val="auto"/>
                <w:kern w:val="0"/>
                <w:sz w:val="24"/>
                <w:szCs w:val="24"/>
              </w:rPr>
              <w:t>质量检查和考核。</w:t>
            </w:r>
          </w:p>
          <w:p w14:paraId="594DD05A">
            <w:pPr>
              <w:keepNext w:val="0"/>
              <w:keepLines w:val="0"/>
              <w:pageBreakBefore w:val="0"/>
              <w:kinsoku/>
              <w:wordWrap/>
              <w:topLinePunct w:val="0"/>
              <w:bidi w:val="0"/>
              <w:adjustRightInd/>
              <w:snapToGrid/>
              <w:spacing w:before="0" w:beforeAutospacing="0" w:after="0" w:afterAutospacing="0" w:line="520" w:lineRule="exact"/>
              <w:ind w:left="0" w:right="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lang w:val="en-US" w:eastAsia="zh-CN"/>
              </w:rPr>
              <w:t>2.依据《广西壮族自治区大气降水自动监测技术方案》（桂环测气字〔2020〕66号）、《大气降水自动监测站</w:t>
            </w:r>
            <w:r>
              <w:rPr>
                <w:rFonts w:hint="eastAsia" w:ascii="宋体" w:hAnsi="宋体" w:eastAsia="宋体" w:cs="宋体"/>
                <w:color w:val="auto"/>
                <w:sz w:val="24"/>
                <w:szCs w:val="24"/>
                <w:lang w:eastAsia="zh-CN"/>
              </w:rPr>
              <w:t>运维方服务内容和监测管理要求</w:t>
            </w:r>
            <w:r>
              <w:rPr>
                <w:rFonts w:hint="eastAsia" w:ascii="宋体" w:hAnsi="宋体" w:eastAsia="宋体" w:cs="宋体"/>
                <w:color w:val="auto"/>
                <w:sz w:val="24"/>
                <w:szCs w:val="24"/>
                <w:lang w:val="en-US" w:eastAsia="zh-CN"/>
              </w:rPr>
              <w:t>》等相关大气降水技术要求</w:t>
            </w:r>
            <w:r>
              <w:rPr>
                <w:rFonts w:hint="eastAsia" w:ascii="宋体" w:hAnsi="宋体" w:eastAsia="宋体" w:cs="宋体"/>
                <w:b w:val="0"/>
                <w:bCs w:val="0"/>
                <w:color w:val="auto"/>
                <w:sz w:val="24"/>
                <w:szCs w:val="24"/>
                <w:lang w:val="en-US" w:eastAsia="zh-CN"/>
              </w:rPr>
              <w:t>，对</w:t>
            </w:r>
            <w:r>
              <w:rPr>
                <w:rFonts w:hint="eastAsia" w:ascii="宋体" w:hAnsi="宋体" w:eastAsia="宋体" w:cs="宋体"/>
                <w:color w:val="auto"/>
                <w:kern w:val="0"/>
                <w:sz w:val="24"/>
                <w:szCs w:val="24"/>
                <w:lang w:eastAsia="zh-CN"/>
              </w:rPr>
              <w:t>北海市</w:t>
            </w:r>
            <w:r>
              <w:rPr>
                <w:rFonts w:hint="eastAsia" w:ascii="宋体" w:hAnsi="宋体" w:eastAsia="宋体" w:cs="宋体"/>
                <w:color w:val="auto"/>
                <w:kern w:val="0"/>
                <w:sz w:val="24"/>
                <w:szCs w:val="24"/>
                <w:lang w:val="en-US" w:eastAsia="zh-CN"/>
              </w:rPr>
              <w:t>4个国（区）控</w:t>
            </w:r>
            <w:r>
              <w:rPr>
                <w:rFonts w:hint="eastAsia" w:ascii="宋体" w:hAnsi="宋体" w:eastAsia="宋体" w:cs="宋体"/>
                <w:color w:val="auto"/>
                <w:kern w:val="0"/>
                <w:sz w:val="24"/>
                <w:szCs w:val="24"/>
              </w:rPr>
              <w:t>大气降水自动监测</w:t>
            </w:r>
            <w:r>
              <w:rPr>
                <w:rFonts w:hint="eastAsia" w:ascii="宋体" w:hAnsi="宋体" w:eastAsia="宋体" w:cs="宋体"/>
                <w:color w:val="auto"/>
                <w:kern w:val="0"/>
                <w:sz w:val="24"/>
                <w:szCs w:val="24"/>
                <w:lang w:eastAsia="zh-CN"/>
              </w:rPr>
              <w:t>点位自动监测</w:t>
            </w:r>
            <w:r>
              <w:rPr>
                <w:rFonts w:hint="eastAsia" w:ascii="宋体" w:hAnsi="宋体" w:eastAsia="宋体" w:cs="宋体"/>
                <w:color w:val="auto"/>
                <w:kern w:val="0"/>
                <w:sz w:val="24"/>
                <w:szCs w:val="24"/>
              </w:rPr>
              <w:t>仪的日常运行维护</w:t>
            </w:r>
            <w:r>
              <w:rPr>
                <w:rFonts w:hint="eastAsia" w:ascii="宋体" w:hAnsi="宋体" w:eastAsia="宋体" w:cs="宋体"/>
                <w:color w:val="auto"/>
                <w:kern w:val="0"/>
                <w:sz w:val="24"/>
                <w:szCs w:val="24"/>
                <w:lang w:eastAsia="zh-CN"/>
              </w:rPr>
              <w:t>保养、</w:t>
            </w:r>
            <w:r>
              <w:rPr>
                <w:rFonts w:hint="eastAsia" w:ascii="宋体" w:hAnsi="宋体" w:eastAsia="宋体" w:cs="宋体"/>
                <w:color w:val="auto"/>
                <w:kern w:val="0"/>
                <w:sz w:val="24"/>
                <w:szCs w:val="24"/>
                <w:lang w:val="en-US" w:eastAsia="zh-CN"/>
              </w:rPr>
              <w:t>仪器</w:t>
            </w:r>
            <w:r>
              <w:rPr>
                <w:rFonts w:hint="eastAsia" w:ascii="宋体" w:hAnsi="宋体" w:eastAsia="宋体" w:cs="宋体"/>
                <w:color w:val="auto"/>
                <w:kern w:val="0"/>
                <w:sz w:val="24"/>
                <w:szCs w:val="24"/>
                <w:lang w:eastAsia="zh-CN"/>
              </w:rPr>
              <w:t>故障维修</w:t>
            </w:r>
            <w:r>
              <w:rPr>
                <w:rFonts w:hint="eastAsia" w:ascii="宋体" w:hAnsi="宋体" w:eastAsia="宋体" w:cs="宋体"/>
                <w:color w:val="auto"/>
                <w:kern w:val="0"/>
                <w:sz w:val="24"/>
                <w:szCs w:val="24"/>
              </w:rPr>
              <w:t>、质量控制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样品</w:t>
            </w:r>
            <w:r>
              <w:rPr>
                <w:rFonts w:hint="eastAsia" w:ascii="宋体" w:hAnsi="宋体" w:eastAsia="宋体" w:cs="宋体"/>
                <w:color w:val="auto"/>
                <w:kern w:val="0"/>
                <w:sz w:val="24"/>
                <w:szCs w:val="24"/>
              </w:rPr>
              <w:t>采</w:t>
            </w:r>
            <w:r>
              <w:rPr>
                <w:rFonts w:hint="eastAsia" w:ascii="宋体" w:hAnsi="宋体" w:eastAsia="宋体" w:cs="宋体"/>
                <w:color w:val="auto"/>
                <w:kern w:val="0"/>
                <w:sz w:val="24"/>
                <w:szCs w:val="24"/>
                <w:lang w:val="en-US" w:eastAsia="zh-CN"/>
              </w:rPr>
              <w:t>集存储运输、数据分析传输、监测异常汇报</w:t>
            </w:r>
            <w:r>
              <w:rPr>
                <w:rFonts w:hint="eastAsia" w:ascii="宋体" w:hAnsi="宋体" w:eastAsia="宋体" w:cs="宋体"/>
                <w:color w:val="auto"/>
                <w:kern w:val="0"/>
                <w:sz w:val="24"/>
                <w:szCs w:val="24"/>
              </w:rPr>
              <w:t>等</w:t>
            </w:r>
            <w:r>
              <w:rPr>
                <w:rFonts w:hint="eastAsia" w:ascii="宋体" w:hAnsi="宋体" w:eastAsia="宋体" w:cs="宋体"/>
                <w:color w:val="auto"/>
                <w:kern w:val="0"/>
                <w:sz w:val="24"/>
                <w:szCs w:val="24"/>
                <w:lang w:val="en-US" w:eastAsia="zh-CN"/>
              </w:rPr>
              <w:t>自动监测全流程工</w:t>
            </w:r>
            <w:r>
              <w:rPr>
                <w:rFonts w:hint="eastAsia" w:ascii="宋体" w:hAnsi="宋体" w:eastAsia="宋体" w:cs="宋体"/>
                <w:color w:val="auto"/>
                <w:kern w:val="0"/>
                <w:sz w:val="24"/>
                <w:szCs w:val="24"/>
              </w:rPr>
              <w:t>作</w:t>
            </w:r>
            <w:r>
              <w:rPr>
                <w:rFonts w:hint="eastAsia" w:ascii="宋体" w:hAnsi="宋体" w:eastAsia="宋体" w:cs="宋体"/>
                <w:color w:val="auto"/>
                <w:sz w:val="24"/>
                <w:szCs w:val="24"/>
                <w:lang w:val="en-US" w:eastAsia="zh-CN"/>
              </w:rPr>
              <w:t>开展运维服务</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运维工作要保障各站点监测仪器正常稳定地运行，监测数据真、准、全，达到国家总站、自治区生态环境监测中心的绩效考核指标要求</w:t>
            </w:r>
            <w:r>
              <w:rPr>
                <w:rFonts w:hint="eastAsia" w:ascii="宋体" w:hAnsi="宋体" w:eastAsia="宋体" w:cs="宋体"/>
                <w:color w:val="auto"/>
                <w:kern w:val="0"/>
                <w:sz w:val="24"/>
                <w:szCs w:val="24"/>
              </w:rPr>
              <w:t>，接受</w:t>
            </w:r>
            <w:r>
              <w:rPr>
                <w:rFonts w:hint="eastAsia" w:ascii="宋体" w:hAnsi="宋体" w:eastAsia="宋体" w:cs="宋体"/>
                <w:color w:val="auto"/>
                <w:kern w:val="0"/>
                <w:sz w:val="24"/>
                <w:szCs w:val="24"/>
                <w:lang w:val="en-US" w:eastAsia="zh-CN"/>
              </w:rPr>
              <w:t>北海中心</w:t>
            </w:r>
            <w:r>
              <w:rPr>
                <w:rFonts w:hint="eastAsia" w:ascii="宋体" w:hAnsi="宋体" w:eastAsia="宋体" w:cs="宋体"/>
                <w:color w:val="auto"/>
                <w:kern w:val="0"/>
                <w:sz w:val="24"/>
                <w:szCs w:val="24"/>
              </w:rPr>
              <w:t>质量检查和考核。</w:t>
            </w:r>
          </w:p>
          <w:p w14:paraId="38363012">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（二）点位信息</w:t>
            </w:r>
            <w:r>
              <w:rPr>
                <w:rFonts w:hint="eastAsia" w:ascii="宋体" w:hAnsi="宋体" w:eastAsia="宋体" w:cs="宋体"/>
                <w:color w:val="auto"/>
                <w:sz w:val="24"/>
                <w:szCs w:val="24"/>
                <w:lang w:val="en-US" w:eastAsia="zh-CN"/>
              </w:rPr>
              <w:t xml:space="preserve"> </w:t>
            </w:r>
          </w:p>
          <w:p w14:paraId="6F9CBD22">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1.牛尾岭水库清洁对照点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846"/>
              <w:gridCol w:w="846"/>
              <w:gridCol w:w="846"/>
              <w:gridCol w:w="846"/>
              <w:gridCol w:w="846"/>
              <w:gridCol w:w="846"/>
              <w:gridCol w:w="846"/>
              <w:gridCol w:w="904"/>
            </w:tblGrid>
            <w:tr w14:paraId="0210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0" w:type="auto"/>
                  <w:vAlign w:val="center"/>
                </w:tcPr>
                <w:p w14:paraId="55EE1E56">
                  <w:pPr>
                    <w:widowControl w:val="0"/>
                    <w:spacing w:before="0" w:beforeAutospacing="0" w:after="0" w:afterAutospacing="0" w:line="320" w:lineRule="exact"/>
                    <w:ind w:left="0" w:right="0"/>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仪器</w:t>
                  </w:r>
                </w:p>
                <w:p w14:paraId="156ECEAE">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vertAlign w:val="baseline"/>
                      <w:lang w:val="en-US" w:eastAsia="zh-CN"/>
                    </w:rPr>
                    <w:t>名称</w:t>
                  </w:r>
                </w:p>
              </w:tc>
              <w:tc>
                <w:tcPr>
                  <w:tcW w:w="0" w:type="auto"/>
                  <w:vAlign w:val="center"/>
                </w:tcPr>
                <w:p w14:paraId="4E4937D9">
                  <w:pPr>
                    <w:widowControl w:val="0"/>
                    <w:spacing w:before="0" w:beforeAutospacing="0" w:after="0" w:afterAutospacing="0" w:line="320" w:lineRule="exact"/>
                    <w:ind w:left="0" w:right="0"/>
                    <w:jc w:val="center"/>
                    <w:rPr>
                      <w:rFonts w:hint="eastAsia" w:ascii="宋体" w:hAnsi="宋体" w:eastAsia="宋体" w:cs="宋体"/>
                      <w:color w:val="auto"/>
                      <w:sz w:val="21"/>
                      <w:szCs w:val="21"/>
                      <w:vertAlign w:val="subscript"/>
                    </w:rPr>
                  </w:pPr>
                  <w:r>
                    <w:rPr>
                      <w:rFonts w:hint="eastAsia" w:ascii="宋体" w:hAnsi="宋体" w:eastAsia="宋体" w:cs="宋体"/>
                      <w:color w:val="auto"/>
                      <w:sz w:val="21"/>
                      <w:szCs w:val="21"/>
                    </w:rPr>
                    <w:t>SO</w:t>
                  </w:r>
                  <w:r>
                    <w:rPr>
                      <w:rFonts w:hint="eastAsia" w:ascii="宋体" w:hAnsi="宋体" w:eastAsia="宋体" w:cs="宋体"/>
                      <w:color w:val="auto"/>
                      <w:sz w:val="21"/>
                      <w:szCs w:val="21"/>
                      <w:vertAlign w:val="subscript"/>
                    </w:rPr>
                    <w:t>2</w:t>
                  </w:r>
                </w:p>
                <w:p w14:paraId="772BA281">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分析仪</w:t>
                  </w:r>
                </w:p>
              </w:tc>
              <w:tc>
                <w:tcPr>
                  <w:tcW w:w="0" w:type="auto"/>
                  <w:vAlign w:val="center"/>
                </w:tcPr>
                <w:p w14:paraId="56C874F0">
                  <w:pPr>
                    <w:widowControl w:val="0"/>
                    <w:spacing w:before="0" w:beforeAutospacing="0" w:after="0" w:afterAutospacing="0" w:line="320" w:lineRule="exact"/>
                    <w:ind w:left="0" w:right="0"/>
                    <w:jc w:val="center"/>
                    <w:rPr>
                      <w:rFonts w:hint="eastAsia" w:ascii="宋体" w:hAnsi="宋体" w:eastAsia="宋体" w:cs="宋体"/>
                      <w:color w:val="auto"/>
                      <w:sz w:val="21"/>
                      <w:szCs w:val="21"/>
                      <w:vertAlign w:val="subscript"/>
                    </w:rPr>
                  </w:pPr>
                  <w:r>
                    <w:rPr>
                      <w:rFonts w:hint="eastAsia" w:ascii="宋体" w:hAnsi="宋体" w:eastAsia="宋体" w:cs="宋体"/>
                      <w:color w:val="auto"/>
                      <w:sz w:val="21"/>
                      <w:szCs w:val="21"/>
                    </w:rPr>
                    <w:t>NO</w:t>
                  </w:r>
                  <w:r>
                    <w:rPr>
                      <w:rFonts w:hint="eastAsia" w:ascii="宋体" w:hAnsi="宋体" w:eastAsia="宋体" w:cs="宋体"/>
                      <w:color w:val="auto"/>
                      <w:sz w:val="21"/>
                      <w:szCs w:val="21"/>
                      <w:vertAlign w:val="subscript"/>
                    </w:rPr>
                    <w:t>X</w:t>
                  </w:r>
                </w:p>
                <w:p w14:paraId="4C70D36B">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分析仪</w:t>
                  </w:r>
                </w:p>
              </w:tc>
              <w:tc>
                <w:tcPr>
                  <w:tcW w:w="0" w:type="auto"/>
                  <w:vAlign w:val="center"/>
                </w:tcPr>
                <w:p w14:paraId="3073484F">
                  <w:pPr>
                    <w:widowControl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CO</w:t>
                  </w:r>
                </w:p>
                <w:p w14:paraId="1F3151F5">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分析仪</w:t>
                  </w:r>
                </w:p>
              </w:tc>
              <w:tc>
                <w:tcPr>
                  <w:tcW w:w="0" w:type="auto"/>
                  <w:vAlign w:val="center"/>
                </w:tcPr>
                <w:p w14:paraId="1541F0AD">
                  <w:pPr>
                    <w:widowControl w:val="0"/>
                    <w:spacing w:before="0" w:beforeAutospacing="0" w:after="0" w:afterAutospacing="0" w:line="320" w:lineRule="exact"/>
                    <w:ind w:left="0" w:right="0"/>
                    <w:jc w:val="center"/>
                    <w:rPr>
                      <w:rFonts w:hint="eastAsia" w:ascii="宋体" w:hAnsi="宋体" w:eastAsia="宋体" w:cs="宋体"/>
                      <w:color w:val="auto"/>
                      <w:sz w:val="21"/>
                      <w:szCs w:val="21"/>
                      <w:vertAlign w:val="subscript"/>
                    </w:rPr>
                  </w:pPr>
                  <w:r>
                    <w:rPr>
                      <w:rFonts w:hint="eastAsia" w:ascii="宋体" w:hAnsi="宋体" w:eastAsia="宋体" w:cs="宋体"/>
                      <w:color w:val="auto"/>
                      <w:sz w:val="21"/>
                      <w:szCs w:val="21"/>
                    </w:rPr>
                    <w:t>O</w:t>
                  </w:r>
                  <w:r>
                    <w:rPr>
                      <w:rFonts w:hint="eastAsia" w:ascii="宋体" w:hAnsi="宋体" w:eastAsia="宋体" w:cs="宋体"/>
                      <w:color w:val="auto"/>
                      <w:sz w:val="21"/>
                      <w:szCs w:val="21"/>
                      <w:vertAlign w:val="subscript"/>
                    </w:rPr>
                    <w:t>3</w:t>
                  </w:r>
                </w:p>
                <w:p w14:paraId="131DE426">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分析仪</w:t>
                  </w:r>
                </w:p>
              </w:tc>
              <w:tc>
                <w:tcPr>
                  <w:tcW w:w="0" w:type="auto"/>
                  <w:vAlign w:val="center"/>
                </w:tcPr>
                <w:p w14:paraId="6A0FC3CB">
                  <w:pPr>
                    <w:widowControl w:val="0"/>
                    <w:spacing w:before="0" w:beforeAutospacing="0" w:after="0" w:afterAutospacing="0" w:line="320" w:lineRule="exact"/>
                    <w:ind w:left="0" w:right="0"/>
                    <w:jc w:val="center"/>
                    <w:rPr>
                      <w:rFonts w:hint="eastAsia" w:ascii="宋体" w:hAnsi="宋体" w:eastAsia="宋体" w:cs="宋体"/>
                      <w:color w:val="auto"/>
                      <w:sz w:val="21"/>
                      <w:szCs w:val="21"/>
                      <w:vertAlign w:val="subscript"/>
                    </w:rPr>
                  </w:pPr>
                  <w:r>
                    <w:rPr>
                      <w:rFonts w:hint="eastAsia" w:ascii="宋体" w:hAnsi="宋体" w:eastAsia="宋体" w:cs="宋体"/>
                      <w:color w:val="auto"/>
                      <w:sz w:val="21"/>
                      <w:szCs w:val="21"/>
                    </w:rPr>
                    <w:t>PM</w:t>
                  </w:r>
                  <w:r>
                    <w:rPr>
                      <w:rFonts w:hint="eastAsia" w:ascii="宋体" w:hAnsi="宋体" w:eastAsia="宋体" w:cs="宋体"/>
                      <w:color w:val="auto"/>
                      <w:sz w:val="21"/>
                      <w:szCs w:val="21"/>
                      <w:vertAlign w:val="subscript"/>
                    </w:rPr>
                    <w:t>10</w:t>
                  </w:r>
                </w:p>
                <w:p w14:paraId="4231DB4B">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分析仪</w:t>
                  </w:r>
                </w:p>
              </w:tc>
              <w:tc>
                <w:tcPr>
                  <w:tcW w:w="0" w:type="auto"/>
                  <w:vAlign w:val="center"/>
                </w:tcPr>
                <w:p w14:paraId="78EBB950">
                  <w:pPr>
                    <w:widowControl w:val="0"/>
                    <w:spacing w:before="0" w:beforeAutospacing="0" w:after="0" w:afterAutospacing="0" w:line="320" w:lineRule="exact"/>
                    <w:ind w:left="0" w:right="0"/>
                    <w:jc w:val="center"/>
                    <w:rPr>
                      <w:rFonts w:hint="eastAsia" w:ascii="宋体" w:hAnsi="宋体" w:eastAsia="宋体" w:cs="宋体"/>
                      <w:color w:val="auto"/>
                      <w:sz w:val="21"/>
                      <w:szCs w:val="21"/>
                      <w:vertAlign w:val="subscript"/>
                    </w:rPr>
                  </w:pPr>
                  <w:r>
                    <w:rPr>
                      <w:rFonts w:hint="eastAsia" w:ascii="宋体" w:hAnsi="宋体" w:eastAsia="宋体" w:cs="宋体"/>
                      <w:color w:val="auto"/>
                      <w:sz w:val="21"/>
                      <w:szCs w:val="21"/>
                    </w:rPr>
                    <w:t>PM</w:t>
                  </w:r>
                  <w:r>
                    <w:rPr>
                      <w:rFonts w:hint="eastAsia" w:ascii="宋体" w:hAnsi="宋体" w:eastAsia="宋体" w:cs="宋体"/>
                      <w:color w:val="auto"/>
                      <w:sz w:val="21"/>
                      <w:szCs w:val="21"/>
                      <w:vertAlign w:val="subscript"/>
                    </w:rPr>
                    <w:t>2.5</w:t>
                  </w:r>
                </w:p>
                <w:p w14:paraId="7D5C1A57">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分析仪</w:t>
                  </w:r>
                </w:p>
              </w:tc>
              <w:tc>
                <w:tcPr>
                  <w:tcW w:w="0" w:type="auto"/>
                  <w:vAlign w:val="center"/>
                </w:tcPr>
                <w:p w14:paraId="4455A6EE">
                  <w:pPr>
                    <w:widowControl w:val="0"/>
                    <w:spacing w:before="0" w:beforeAutospacing="0" w:after="0" w:afterAutospacing="0" w:line="320" w:lineRule="exac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零气</w:t>
                  </w:r>
                </w:p>
                <w:p w14:paraId="7CF01A5E">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发生器</w:t>
                  </w:r>
                </w:p>
              </w:tc>
              <w:tc>
                <w:tcPr>
                  <w:tcW w:w="904" w:type="dxa"/>
                  <w:vAlign w:val="center"/>
                </w:tcPr>
                <w:p w14:paraId="10EE4219">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动态气体校准仪</w:t>
                  </w:r>
                </w:p>
              </w:tc>
            </w:tr>
            <w:tr w14:paraId="1BD7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0" w:type="auto"/>
                  <w:vAlign w:val="center"/>
                </w:tcPr>
                <w:p w14:paraId="4DA42CBF">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vertAlign w:val="baseline"/>
                      <w:lang w:val="en-US" w:eastAsia="zh-CN"/>
                    </w:rPr>
                    <w:t>品牌</w:t>
                  </w:r>
                </w:p>
              </w:tc>
              <w:tc>
                <w:tcPr>
                  <w:tcW w:w="0" w:type="auto"/>
                  <w:vAlign w:val="center"/>
                </w:tcPr>
                <w:p w14:paraId="09B3FB65">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热电</w:t>
                  </w:r>
                </w:p>
              </w:tc>
              <w:tc>
                <w:tcPr>
                  <w:tcW w:w="0" w:type="auto"/>
                  <w:vAlign w:val="center"/>
                </w:tcPr>
                <w:p w14:paraId="2C9322E5">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热电</w:t>
                  </w:r>
                </w:p>
              </w:tc>
              <w:tc>
                <w:tcPr>
                  <w:tcW w:w="0" w:type="auto"/>
                  <w:vAlign w:val="center"/>
                </w:tcPr>
                <w:p w14:paraId="232EE20B">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热电</w:t>
                  </w:r>
                </w:p>
              </w:tc>
              <w:tc>
                <w:tcPr>
                  <w:tcW w:w="0" w:type="auto"/>
                  <w:vAlign w:val="center"/>
                </w:tcPr>
                <w:p w14:paraId="2D3DD731">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热电</w:t>
                  </w:r>
                </w:p>
              </w:tc>
              <w:tc>
                <w:tcPr>
                  <w:tcW w:w="0" w:type="auto"/>
                  <w:vAlign w:val="center"/>
                </w:tcPr>
                <w:p w14:paraId="7968C998">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热电</w:t>
                  </w:r>
                </w:p>
              </w:tc>
              <w:tc>
                <w:tcPr>
                  <w:tcW w:w="0" w:type="auto"/>
                  <w:vAlign w:val="center"/>
                </w:tcPr>
                <w:p w14:paraId="237ADEF0">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en-US"/>
                    </w:rPr>
                    <w:t>Metone</w:t>
                  </w:r>
                </w:p>
              </w:tc>
              <w:tc>
                <w:tcPr>
                  <w:tcW w:w="0" w:type="auto"/>
                  <w:vAlign w:val="center"/>
                </w:tcPr>
                <w:p w14:paraId="5D3FED18">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热电</w:t>
                  </w:r>
                </w:p>
              </w:tc>
              <w:tc>
                <w:tcPr>
                  <w:tcW w:w="904" w:type="dxa"/>
                  <w:vAlign w:val="center"/>
                </w:tcPr>
                <w:p w14:paraId="527D8E70">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热电</w:t>
                  </w:r>
                </w:p>
              </w:tc>
            </w:tr>
            <w:tr w14:paraId="3BC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0" w:type="auto"/>
                  <w:vAlign w:val="center"/>
                </w:tcPr>
                <w:p w14:paraId="7F1BDF02">
                  <w:pPr>
                    <w:widowControl w:val="0"/>
                    <w:spacing w:before="0" w:beforeAutospacing="0" w:after="0" w:afterAutospacing="0" w:line="320" w:lineRule="exact"/>
                    <w:ind w:left="0" w:right="0"/>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使用</w:t>
                  </w:r>
                </w:p>
                <w:p w14:paraId="2320DF90">
                  <w:pPr>
                    <w:widowControl w:val="0"/>
                    <w:spacing w:before="0" w:beforeAutospacing="0" w:after="0" w:afterAutospacing="0" w:line="320" w:lineRule="exact"/>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vertAlign w:val="baseline"/>
                      <w:lang w:val="en-US" w:eastAsia="zh-CN"/>
                    </w:rPr>
                    <w:t>时间</w:t>
                  </w:r>
                </w:p>
              </w:tc>
              <w:tc>
                <w:tcPr>
                  <w:tcW w:w="0" w:type="auto"/>
                  <w:vAlign w:val="center"/>
                </w:tcPr>
                <w:p w14:paraId="534536EF">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2011</w:t>
                  </w:r>
                  <w:r>
                    <w:rPr>
                      <w:rFonts w:hint="eastAsia" w:ascii="宋体" w:hAnsi="宋体" w:eastAsia="宋体" w:cs="宋体"/>
                      <w:color w:val="auto"/>
                      <w:kern w:val="0"/>
                      <w:sz w:val="21"/>
                      <w:szCs w:val="21"/>
                      <w:lang w:val="en-US" w:eastAsia="en-US"/>
                    </w:rPr>
                    <w:t>.</w:t>
                  </w:r>
                  <w:r>
                    <w:rPr>
                      <w:rFonts w:hint="eastAsia" w:ascii="宋体" w:hAnsi="宋体" w:eastAsia="宋体" w:cs="宋体"/>
                      <w:color w:val="auto"/>
                      <w:kern w:val="0"/>
                      <w:sz w:val="21"/>
                      <w:szCs w:val="21"/>
                      <w:lang w:val="en-US" w:eastAsia="zh-CN"/>
                    </w:rPr>
                    <w:t>6</w:t>
                  </w:r>
                </w:p>
              </w:tc>
              <w:tc>
                <w:tcPr>
                  <w:tcW w:w="0" w:type="auto"/>
                  <w:vAlign w:val="center"/>
                </w:tcPr>
                <w:p w14:paraId="78E58042">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2011</w:t>
                  </w:r>
                  <w:r>
                    <w:rPr>
                      <w:rFonts w:hint="eastAsia" w:ascii="宋体" w:hAnsi="宋体" w:eastAsia="宋体" w:cs="宋体"/>
                      <w:color w:val="auto"/>
                      <w:kern w:val="0"/>
                      <w:sz w:val="21"/>
                      <w:szCs w:val="21"/>
                      <w:lang w:val="en-US" w:eastAsia="en-US"/>
                    </w:rPr>
                    <w:t>.</w:t>
                  </w:r>
                  <w:r>
                    <w:rPr>
                      <w:rFonts w:hint="eastAsia" w:ascii="宋体" w:hAnsi="宋体" w:eastAsia="宋体" w:cs="宋体"/>
                      <w:color w:val="auto"/>
                      <w:kern w:val="0"/>
                      <w:sz w:val="21"/>
                      <w:szCs w:val="21"/>
                      <w:lang w:val="en-US" w:eastAsia="zh-CN"/>
                    </w:rPr>
                    <w:t>6</w:t>
                  </w:r>
                </w:p>
              </w:tc>
              <w:tc>
                <w:tcPr>
                  <w:tcW w:w="0" w:type="auto"/>
                  <w:vAlign w:val="center"/>
                </w:tcPr>
                <w:p w14:paraId="508477B0">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2011</w:t>
                  </w:r>
                  <w:r>
                    <w:rPr>
                      <w:rFonts w:hint="eastAsia" w:ascii="宋体" w:hAnsi="宋体" w:eastAsia="宋体" w:cs="宋体"/>
                      <w:color w:val="auto"/>
                      <w:kern w:val="0"/>
                      <w:sz w:val="21"/>
                      <w:szCs w:val="21"/>
                      <w:lang w:val="en-US" w:eastAsia="en-US"/>
                    </w:rPr>
                    <w:t>.</w:t>
                  </w:r>
                  <w:r>
                    <w:rPr>
                      <w:rFonts w:hint="eastAsia" w:ascii="宋体" w:hAnsi="宋体" w:eastAsia="宋体" w:cs="宋体"/>
                      <w:color w:val="auto"/>
                      <w:kern w:val="0"/>
                      <w:sz w:val="21"/>
                      <w:szCs w:val="21"/>
                      <w:lang w:val="en-US" w:eastAsia="zh-CN"/>
                    </w:rPr>
                    <w:t>6</w:t>
                  </w:r>
                </w:p>
              </w:tc>
              <w:tc>
                <w:tcPr>
                  <w:tcW w:w="0" w:type="auto"/>
                  <w:vAlign w:val="center"/>
                </w:tcPr>
                <w:p w14:paraId="3D0264C5">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2011</w:t>
                  </w:r>
                  <w:r>
                    <w:rPr>
                      <w:rFonts w:hint="eastAsia" w:ascii="宋体" w:hAnsi="宋体" w:eastAsia="宋体" w:cs="宋体"/>
                      <w:color w:val="auto"/>
                      <w:kern w:val="0"/>
                      <w:sz w:val="21"/>
                      <w:szCs w:val="21"/>
                      <w:lang w:val="en-US" w:eastAsia="en-US"/>
                    </w:rPr>
                    <w:t>.</w:t>
                  </w:r>
                  <w:r>
                    <w:rPr>
                      <w:rFonts w:hint="eastAsia" w:ascii="宋体" w:hAnsi="宋体" w:eastAsia="宋体" w:cs="宋体"/>
                      <w:color w:val="auto"/>
                      <w:kern w:val="0"/>
                      <w:sz w:val="21"/>
                      <w:szCs w:val="21"/>
                      <w:lang w:val="en-US" w:eastAsia="zh-CN"/>
                    </w:rPr>
                    <w:t>6</w:t>
                  </w:r>
                </w:p>
              </w:tc>
              <w:tc>
                <w:tcPr>
                  <w:tcW w:w="0" w:type="auto"/>
                  <w:vAlign w:val="center"/>
                </w:tcPr>
                <w:p w14:paraId="71190891">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2011</w:t>
                  </w:r>
                  <w:r>
                    <w:rPr>
                      <w:rFonts w:hint="eastAsia" w:ascii="宋体" w:hAnsi="宋体" w:eastAsia="宋体" w:cs="宋体"/>
                      <w:color w:val="auto"/>
                      <w:kern w:val="0"/>
                      <w:sz w:val="21"/>
                      <w:szCs w:val="21"/>
                      <w:lang w:val="en-US" w:eastAsia="en-US"/>
                    </w:rPr>
                    <w:t>.</w:t>
                  </w:r>
                  <w:r>
                    <w:rPr>
                      <w:rFonts w:hint="eastAsia" w:ascii="宋体" w:hAnsi="宋体" w:eastAsia="宋体" w:cs="宋体"/>
                      <w:color w:val="auto"/>
                      <w:kern w:val="0"/>
                      <w:sz w:val="21"/>
                      <w:szCs w:val="21"/>
                      <w:lang w:val="en-US" w:eastAsia="zh-CN"/>
                    </w:rPr>
                    <w:t>6</w:t>
                  </w:r>
                </w:p>
              </w:tc>
              <w:tc>
                <w:tcPr>
                  <w:tcW w:w="0" w:type="auto"/>
                  <w:vAlign w:val="center"/>
                </w:tcPr>
                <w:p w14:paraId="5CD3858D">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2012.7</w:t>
                  </w:r>
                </w:p>
              </w:tc>
              <w:tc>
                <w:tcPr>
                  <w:tcW w:w="0" w:type="auto"/>
                  <w:vAlign w:val="center"/>
                </w:tcPr>
                <w:p w14:paraId="61F3BA93">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2011</w:t>
                  </w:r>
                  <w:r>
                    <w:rPr>
                      <w:rFonts w:hint="eastAsia" w:ascii="宋体" w:hAnsi="宋体" w:eastAsia="宋体" w:cs="宋体"/>
                      <w:color w:val="auto"/>
                      <w:kern w:val="0"/>
                      <w:sz w:val="21"/>
                      <w:szCs w:val="21"/>
                      <w:lang w:val="en-US" w:eastAsia="en-US"/>
                    </w:rPr>
                    <w:t>.</w:t>
                  </w:r>
                  <w:r>
                    <w:rPr>
                      <w:rFonts w:hint="eastAsia" w:ascii="宋体" w:hAnsi="宋体" w:eastAsia="宋体" w:cs="宋体"/>
                      <w:color w:val="auto"/>
                      <w:kern w:val="0"/>
                      <w:sz w:val="21"/>
                      <w:szCs w:val="21"/>
                      <w:lang w:val="en-US" w:eastAsia="zh-CN"/>
                    </w:rPr>
                    <w:t>6</w:t>
                  </w:r>
                </w:p>
              </w:tc>
              <w:tc>
                <w:tcPr>
                  <w:tcW w:w="904" w:type="dxa"/>
                  <w:vAlign w:val="center"/>
                </w:tcPr>
                <w:p w14:paraId="7EA748CF">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2011</w:t>
                  </w:r>
                  <w:r>
                    <w:rPr>
                      <w:rFonts w:hint="eastAsia" w:ascii="宋体" w:hAnsi="宋体" w:eastAsia="宋体" w:cs="宋体"/>
                      <w:color w:val="auto"/>
                      <w:kern w:val="0"/>
                      <w:sz w:val="21"/>
                      <w:szCs w:val="21"/>
                      <w:lang w:val="en-US" w:eastAsia="en-US"/>
                    </w:rPr>
                    <w:t>.</w:t>
                  </w:r>
                  <w:r>
                    <w:rPr>
                      <w:rFonts w:hint="eastAsia" w:ascii="宋体" w:hAnsi="宋体" w:eastAsia="宋体" w:cs="宋体"/>
                      <w:color w:val="auto"/>
                      <w:kern w:val="0"/>
                      <w:sz w:val="21"/>
                      <w:szCs w:val="21"/>
                      <w:lang w:val="en-US" w:eastAsia="zh-CN"/>
                    </w:rPr>
                    <w:t>6</w:t>
                  </w:r>
                </w:p>
              </w:tc>
            </w:tr>
          </w:tbl>
          <w:p w14:paraId="63A65D6B">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2.新市环保局非甲烷总烃</w:t>
            </w:r>
          </w:p>
          <w:tbl>
            <w:tblPr>
              <w:tblStyle w:val="7"/>
              <w:tblW w:w="7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858"/>
              <w:gridCol w:w="1756"/>
              <w:gridCol w:w="2085"/>
            </w:tblGrid>
            <w:tr w14:paraId="651D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39" w:type="dxa"/>
                  <w:vAlign w:val="center"/>
                </w:tcPr>
                <w:p w14:paraId="5DA3FBD8">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kern w:val="0"/>
                      <w:sz w:val="24"/>
                      <w:szCs w:val="24"/>
                    </w:rPr>
                    <w:t>序号</w:t>
                  </w:r>
                </w:p>
              </w:tc>
              <w:tc>
                <w:tcPr>
                  <w:tcW w:w="2858" w:type="dxa"/>
                  <w:vAlign w:val="center"/>
                </w:tcPr>
                <w:p w14:paraId="56183574">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kern w:val="0"/>
                      <w:sz w:val="24"/>
                      <w:szCs w:val="24"/>
                      <w:lang w:val="en-US" w:eastAsia="zh-CN"/>
                    </w:rPr>
                    <w:t>仪器名称</w:t>
                  </w:r>
                </w:p>
              </w:tc>
              <w:tc>
                <w:tcPr>
                  <w:tcW w:w="1756" w:type="dxa"/>
                  <w:vAlign w:val="center"/>
                </w:tcPr>
                <w:p w14:paraId="1500B096">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kern w:val="0"/>
                      <w:sz w:val="24"/>
                      <w:szCs w:val="24"/>
                      <w:lang w:val="en-US" w:eastAsia="zh-CN"/>
                    </w:rPr>
                    <w:t>品牌</w:t>
                  </w:r>
                  <w:r>
                    <w:rPr>
                      <w:rFonts w:hint="eastAsia" w:ascii="宋体" w:hAnsi="宋体" w:eastAsia="宋体" w:cs="宋体"/>
                      <w:b/>
                      <w:bCs w:val="0"/>
                      <w:color w:val="auto"/>
                      <w:kern w:val="0"/>
                      <w:sz w:val="24"/>
                      <w:szCs w:val="24"/>
                    </w:rPr>
                    <w:t>名称</w:t>
                  </w:r>
                </w:p>
              </w:tc>
              <w:tc>
                <w:tcPr>
                  <w:tcW w:w="2085" w:type="dxa"/>
                  <w:vAlign w:val="center"/>
                </w:tcPr>
                <w:p w14:paraId="4D39F2FB">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val="0"/>
                      <w:color w:val="auto"/>
                      <w:kern w:val="0"/>
                      <w:sz w:val="24"/>
                      <w:szCs w:val="24"/>
                    </w:rPr>
                    <w:t>仪器型号</w:t>
                  </w:r>
                </w:p>
              </w:tc>
            </w:tr>
            <w:tr w14:paraId="091E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9" w:type="dxa"/>
                  <w:vAlign w:val="center"/>
                </w:tcPr>
                <w:p w14:paraId="46E2EB98">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1</w:t>
                  </w:r>
                </w:p>
              </w:tc>
              <w:tc>
                <w:tcPr>
                  <w:tcW w:w="2858" w:type="dxa"/>
                  <w:vAlign w:val="center"/>
                </w:tcPr>
                <w:p w14:paraId="7F8A1D47">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环境空气非甲烷总烃分析仪</w:t>
                  </w:r>
                </w:p>
              </w:tc>
              <w:tc>
                <w:tcPr>
                  <w:tcW w:w="1756" w:type="dxa"/>
                  <w:vAlign w:val="center"/>
                </w:tcPr>
                <w:p w14:paraId="0A6B4A8C">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力合科技</w:t>
                  </w:r>
                </w:p>
              </w:tc>
              <w:tc>
                <w:tcPr>
                  <w:tcW w:w="2085" w:type="dxa"/>
                  <w:vAlign w:val="center"/>
                </w:tcPr>
                <w:p w14:paraId="33872B25">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LFGGC-2013</w:t>
                  </w:r>
                </w:p>
              </w:tc>
            </w:tr>
            <w:tr w14:paraId="0479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9" w:type="dxa"/>
                  <w:vAlign w:val="center"/>
                </w:tcPr>
                <w:p w14:paraId="7DA5BF25">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2</w:t>
                  </w:r>
                </w:p>
              </w:tc>
              <w:tc>
                <w:tcPr>
                  <w:tcW w:w="2858" w:type="dxa"/>
                  <w:vAlign w:val="center"/>
                </w:tcPr>
                <w:p w14:paraId="6AE39484">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氢气发生器</w:t>
                  </w:r>
                </w:p>
              </w:tc>
              <w:tc>
                <w:tcPr>
                  <w:tcW w:w="1756" w:type="dxa"/>
                  <w:vAlign w:val="center"/>
                </w:tcPr>
                <w:p w14:paraId="3ABE6895">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力合科技</w:t>
                  </w:r>
                </w:p>
              </w:tc>
              <w:tc>
                <w:tcPr>
                  <w:tcW w:w="2085" w:type="dxa"/>
                  <w:vAlign w:val="center"/>
                </w:tcPr>
                <w:p w14:paraId="63D056BA">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LHZQ-2012(H2)</w:t>
                  </w:r>
                </w:p>
              </w:tc>
            </w:tr>
            <w:tr w14:paraId="70C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9" w:type="dxa"/>
                  <w:vAlign w:val="center"/>
                </w:tcPr>
                <w:p w14:paraId="0B3681D1">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3</w:t>
                  </w:r>
                </w:p>
              </w:tc>
              <w:tc>
                <w:tcPr>
                  <w:tcW w:w="2858" w:type="dxa"/>
                  <w:vAlign w:val="center"/>
                </w:tcPr>
                <w:p w14:paraId="3B69D212">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零气发生器</w:t>
                  </w:r>
                </w:p>
              </w:tc>
              <w:tc>
                <w:tcPr>
                  <w:tcW w:w="1756" w:type="dxa"/>
                  <w:vAlign w:val="center"/>
                </w:tcPr>
                <w:p w14:paraId="7FD6A8BD">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力合科技</w:t>
                  </w:r>
                </w:p>
              </w:tc>
              <w:tc>
                <w:tcPr>
                  <w:tcW w:w="2085" w:type="dxa"/>
                  <w:vAlign w:val="center"/>
                </w:tcPr>
                <w:p w14:paraId="4E81F153">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LHZA-2012</w:t>
                  </w:r>
                </w:p>
              </w:tc>
            </w:tr>
            <w:tr w14:paraId="5C82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39" w:type="dxa"/>
                  <w:vAlign w:val="center"/>
                </w:tcPr>
                <w:p w14:paraId="4A6D7093">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4</w:t>
                  </w:r>
                </w:p>
              </w:tc>
              <w:tc>
                <w:tcPr>
                  <w:tcW w:w="2858" w:type="dxa"/>
                  <w:vAlign w:val="center"/>
                </w:tcPr>
                <w:p w14:paraId="1B2E0F6B">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全惰性化精密动态校准仪</w:t>
                  </w:r>
                </w:p>
              </w:tc>
              <w:tc>
                <w:tcPr>
                  <w:tcW w:w="1756" w:type="dxa"/>
                  <w:vAlign w:val="center"/>
                </w:tcPr>
                <w:p w14:paraId="560409FC">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力合科技</w:t>
                  </w:r>
                </w:p>
              </w:tc>
              <w:tc>
                <w:tcPr>
                  <w:tcW w:w="2085" w:type="dxa"/>
                  <w:vAlign w:val="center"/>
                </w:tcPr>
                <w:p w14:paraId="4DE3A2CA">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0"/>
                      <w:sz w:val="21"/>
                      <w:szCs w:val="21"/>
                      <w:lang w:val="en-US" w:eastAsia="zh-CN"/>
                    </w:rPr>
                    <w:t>LFGM-2012</w:t>
                  </w:r>
                </w:p>
              </w:tc>
            </w:tr>
          </w:tbl>
          <w:p w14:paraId="02B7AB59">
            <w:pPr>
              <w:tabs>
                <w:tab w:val="left" w:pos="2280"/>
              </w:tabs>
              <w:adjustRightInd/>
              <w:snapToGrid/>
              <w:spacing w:before="0" w:beforeAutospacing="0" w:after="0" w:afterAutospacing="0" w:line="540" w:lineRule="exact"/>
              <w:ind w:left="0" w:right="0" w:firstLine="480" w:firstLineChars="200"/>
              <w:contextualSpacing/>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3.大气降水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436"/>
              <w:gridCol w:w="2647"/>
              <w:gridCol w:w="2647"/>
            </w:tblGrid>
            <w:tr w14:paraId="6319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603AF6E6">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color w:val="auto"/>
                      <w:sz w:val="24"/>
                      <w:szCs w:val="24"/>
                      <w:vertAlign w:val="baseline"/>
                      <w:lang w:val="en-US" w:eastAsia="zh-CN"/>
                    </w:rPr>
                  </w:pPr>
                  <w:r>
                    <w:rPr>
                      <w:rFonts w:hint="eastAsia" w:ascii="宋体" w:hAnsi="宋体" w:eastAsia="宋体" w:cs="宋体"/>
                      <w:b/>
                      <w:bCs w:val="0"/>
                      <w:color w:val="auto"/>
                      <w:kern w:val="0"/>
                      <w:sz w:val="24"/>
                      <w:szCs w:val="24"/>
                    </w:rPr>
                    <w:t>序号</w:t>
                  </w:r>
                </w:p>
              </w:tc>
              <w:tc>
                <w:tcPr>
                  <w:tcW w:w="1455" w:type="dxa"/>
                  <w:vAlign w:val="center"/>
                </w:tcPr>
                <w:p w14:paraId="34AD6BC0">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color w:val="auto"/>
                      <w:sz w:val="24"/>
                      <w:szCs w:val="24"/>
                      <w:vertAlign w:val="baseline"/>
                      <w:lang w:val="en-US" w:eastAsia="zh-CN"/>
                    </w:rPr>
                  </w:pPr>
                  <w:r>
                    <w:rPr>
                      <w:rFonts w:hint="eastAsia" w:ascii="宋体" w:hAnsi="宋体" w:eastAsia="宋体" w:cs="宋体"/>
                      <w:b/>
                      <w:bCs w:val="0"/>
                      <w:color w:val="auto"/>
                      <w:kern w:val="0"/>
                      <w:sz w:val="24"/>
                      <w:szCs w:val="24"/>
                    </w:rPr>
                    <w:t>城市名称</w:t>
                  </w:r>
                </w:p>
              </w:tc>
              <w:tc>
                <w:tcPr>
                  <w:tcW w:w="2685" w:type="dxa"/>
                  <w:vAlign w:val="center"/>
                </w:tcPr>
                <w:p w14:paraId="5AC28199">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color w:val="auto"/>
                      <w:sz w:val="24"/>
                      <w:szCs w:val="24"/>
                      <w:vertAlign w:val="baseline"/>
                      <w:lang w:val="en-US" w:eastAsia="zh-CN"/>
                    </w:rPr>
                  </w:pPr>
                  <w:r>
                    <w:rPr>
                      <w:rFonts w:hint="eastAsia" w:ascii="宋体" w:hAnsi="宋体" w:eastAsia="宋体" w:cs="宋体"/>
                      <w:b/>
                      <w:bCs w:val="0"/>
                      <w:color w:val="auto"/>
                      <w:kern w:val="0"/>
                      <w:sz w:val="24"/>
                      <w:szCs w:val="24"/>
                    </w:rPr>
                    <w:t>点位名称</w:t>
                  </w:r>
                </w:p>
              </w:tc>
              <w:tc>
                <w:tcPr>
                  <w:tcW w:w="2677" w:type="dxa"/>
                  <w:vAlign w:val="center"/>
                </w:tcPr>
                <w:p w14:paraId="1ACE897C">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color w:val="auto"/>
                      <w:sz w:val="24"/>
                      <w:szCs w:val="24"/>
                      <w:vertAlign w:val="baseline"/>
                      <w:lang w:val="en-US" w:eastAsia="zh-CN"/>
                    </w:rPr>
                  </w:pPr>
                  <w:r>
                    <w:rPr>
                      <w:rFonts w:hint="eastAsia" w:ascii="宋体" w:hAnsi="宋体" w:eastAsia="宋体" w:cs="宋体"/>
                      <w:b/>
                      <w:bCs w:val="0"/>
                      <w:color w:val="auto"/>
                      <w:kern w:val="0"/>
                      <w:sz w:val="24"/>
                      <w:szCs w:val="24"/>
                    </w:rPr>
                    <w:t>仪器型号</w:t>
                  </w:r>
                </w:p>
              </w:tc>
            </w:tr>
            <w:tr w14:paraId="1B83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38" w:type="dxa"/>
                  <w:vAlign w:val="center"/>
                </w:tcPr>
                <w:p w14:paraId="7C13DB6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rPr>
                    <w:t>1</w:t>
                  </w:r>
                </w:p>
              </w:tc>
              <w:tc>
                <w:tcPr>
                  <w:tcW w:w="1455" w:type="dxa"/>
                  <w:vAlign w:val="center"/>
                </w:tcPr>
                <w:p w14:paraId="7DF20E1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rPr>
                    <w:t>北海市</w:t>
                  </w:r>
                </w:p>
              </w:tc>
              <w:tc>
                <w:tcPr>
                  <w:tcW w:w="2685" w:type="dxa"/>
                  <w:vAlign w:val="center"/>
                </w:tcPr>
                <w:p w14:paraId="55583F5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rPr>
                    <w:t>牛尾岭水库</w:t>
                  </w:r>
                </w:p>
              </w:tc>
              <w:tc>
                <w:tcPr>
                  <w:tcW w:w="2677" w:type="dxa"/>
                  <w:vAlign w:val="center"/>
                </w:tcPr>
                <w:p w14:paraId="21E91F0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rPr>
                    <w:t>DIGITEL（瑞士）</w:t>
                  </w:r>
                </w:p>
              </w:tc>
            </w:tr>
            <w:tr w14:paraId="61EB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76EFB62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rPr>
                    <w:t>2</w:t>
                  </w:r>
                </w:p>
              </w:tc>
              <w:tc>
                <w:tcPr>
                  <w:tcW w:w="1455" w:type="dxa"/>
                  <w:vAlign w:val="center"/>
                </w:tcPr>
                <w:p w14:paraId="2D5B41B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rPr>
                    <w:t>北海市</w:t>
                  </w:r>
                </w:p>
              </w:tc>
              <w:tc>
                <w:tcPr>
                  <w:tcW w:w="2685" w:type="dxa"/>
                  <w:vAlign w:val="center"/>
                </w:tcPr>
                <w:p w14:paraId="0E15365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rPr>
                    <w:t>龙潭水厂</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rPr>
                    <w:t>新市环保局</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rPr>
                    <w:t>北海工业园</w:t>
                  </w:r>
                </w:p>
              </w:tc>
              <w:tc>
                <w:tcPr>
                  <w:tcW w:w="2677" w:type="dxa"/>
                  <w:vAlign w:val="center"/>
                </w:tcPr>
                <w:p w14:paraId="67373FE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kern w:val="0"/>
                      <w:sz w:val="21"/>
                      <w:szCs w:val="21"/>
                      <w:lang w:val="en-US" w:eastAsia="zh-CN"/>
                    </w:rPr>
                    <w:t>ZJC-VIII Pro（恒达）</w:t>
                  </w:r>
                </w:p>
              </w:tc>
            </w:tr>
          </w:tbl>
          <w:p w14:paraId="7829805D">
            <w:pPr>
              <w:pStyle w:val="10"/>
              <w:numPr>
                <w:ilvl w:val="0"/>
                <w:numId w:val="0"/>
              </w:numPr>
              <w:autoSpaceDE/>
              <w:autoSpaceDN/>
              <w:spacing w:before="0" w:beforeAutospacing="0" w:after="0" w:afterAutospacing="0" w:line="560" w:lineRule="exact"/>
              <w:ind w:left="0" w:right="0"/>
              <w:jc w:val="both"/>
              <w:rPr>
                <w:rFonts w:hint="eastAsia"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（三）区控市级环境空气自动监测站</w:t>
            </w:r>
            <w:r>
              <w:rPr>
                <w:rFonts w:hint="eastAsia" w:ascii="宋体" w:hAnsi="宋体" w:eastAsia="宋体" w:cs="宋体"/>
                <w:b/>
                <w:bCs/>
                <w:color w:val="auto"/>
                <w:sz w:val="24"/>
                <w:szCs w:val="24"/>
                <w:lang w:val="en-US"/>
              </w:rPr>
              <w:t>运行维护工作要求</w:t>
            </w:r>
          </w:p>
          <w:p w14:paraId="4B1B6E52">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运行维护工作目标</w:t>
            </w:r>
          </w:p>
          <w:p w14:paraId="7DF1A3E5">
            <w:pPr>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所获取的各项指标的有效监测数据必须满足（参照）《环境空气质量标准》（GB 3095-2012）中规定的污染物浓度数据有效性最低要求。</w:t>
            </w:r>
          </w:p>
          <w:p w14:paraId="42F90059">
            <w:pPr>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2每季度单站直连国家实时数据和审核数据的入库率达到95%以上。</w:t>
            </w:r>
          </w:p>
          <w:p w14:paraId="1A3D2962">
            <w:pPr>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运行维护任务完成率100%。</w:t>
            </w:r>
          </w:p>
          <w:p w14:paraId="6BD4D688">
            <w:pPr>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异常情况处理率100%。</w:t>
            </w:r>
          </w:p>
          <w:p w14:paraId="40D992A9">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2.环境空气自动监测站运行维护工作要求</w:t>
            </w:r>
          </w:p>
          <w:p w14:paraId="696148A7">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运行维护工作一般要求</w:t>
            </w:r>
          </w:p>
          <w:p w14:paraId="6222166C">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保持站房内部环境清洁，布置整齐，各仪器设备干净清洁，设备标识清楚。</w:t>
            </w:r>
          </w:p>
          <w:p w14:paraId="7BFE0361">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保持站房外20m以内的环境清洁。</w:t>
            </w:r>
          </w:p>
          <w:p w14:paraId="27383247">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检查供电和网络通讯情况，保证系统的正常运行。</w:t>
            </w:r>
          </w:p>
          <w:p w14:paraId="4B7D3980">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保证空调正常工作，站房内温度25±5℃，相对湿度保持在80%RH以下。</w:t>
            </w:r>
          </w:p>
          <w:p w14:paraId="0884109F">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指派专人维护，设备固定牢固，门窗关闭良好，人走关门，非工作人员未经许可不得入内。</w:t>
            </w:r>
          </w:p>
          <w:p w14:paraId="550C0E3B">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定期检查消防和安全设施</w:t>
            </w:r>
            <w:r>
              <w:rPr>
                <w:rFonts w:hint="eastAsia" w:ascii="宋体" w:hAnsi="宋体" w:eastAsia="宋体" w:cs="宋体"/>
                <w:color w:val="auto"/>
                <w:sz w:val="24"/>
                <w:szCs w:val="24"/>
                <w:lang w:eastAsia="zh-CN"/>
              </w:rPr>
              <w:t>。</w:t>
            </w:r>
          </w:p>
          <w:p w14:paraId="3787AAE5">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每次维护后做好系统运行维护记录</w:t>
            </w:r>
            <w:r>
              <w:rPr>
                <w:rFonts w:hint="eastAsia" w:ascii="宋体" w:hAnsi="宋体" w:eastAsia="宋体" w:cs="宋体"/>
                <w:color w:val="auto"/>
                <w:sz w:val="24"/>
                <w:szCs w:val="24"/>
                <w:lang w:eastAsia="zh-CN"/>
              </w:rPr>
              <w:t>。</w:t>
            </w:r>
          </w:p>
          <w:p w14:paraId="70100E13">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进行维护时，规范操作，注意安全，防止意外发生。</w:t>
            </w:r>
          </w:p>
          <w:p w14:paraId="33446F9D">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2.2每日工作内容</w:t>
            </w:r>
          </w:p>
          <w:p w14:paraId="6CBD6CC5">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rPr>
              <w:t>每天上午和下午两次远程查看区控市</w:t>
            </w:r>
            <w:r>
              <w:rPr>
                <w:rFonts w:hint="eastAsia" w:ascii="宋体" w:hAnsi="宋体" w:eastAsia="宋体" w:cs="宋体"/>
                <w:color w:val="auto"/>
                <w:sz w:val="24"/>
                <w:szCs w:val="24"/>
                <w:lang w:val="en-US" w:eastAsia="zh-CN"/>
              </w:rPr>
              <w:t>级</w:t>
            </w:r>
            <w:r>
              <w:rPr>
                <w:rFonts w:hint="eastAsia" w:ascii="宋体" w:hAnsi="宋体" w:eastAsia="宋体" w:cs="宋体"/>
                <w:color w:val="auto"/>
                <w:sz w:val="24"/>
                <w:szCs w:val="24"/>
              </w:rPr>
              <w:t>站数据并形成记录，分析监测数据，对站点运行情况进行远程诊断和运行管理，内容包括：</w:t>
            </w:r>
          </w:p>
          <w:p w14:paraId="3E39A5E3">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判断系统数据采集与传输情况</w:t>
            </w:r>
            <w:r>
              <w:rPr>
                <w:rFonts w:hint="eastAsia" w:ascii="宋体" w:hAnsi="宋体" w:eastAsia="宋体" w:cs="宋体"/>
                <w:color w:val="auto"/>
                <w:sz w:val="24"/>
                <w:szCs w:val="24"/>
                <w:lang w:eastAsia="zh-CN"/>
              </w:rPr>
              <w:t>。</w:t>
            </w:r>
          </w:p>
          <w:p w14:paraId="625D4B51">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发现监测数据异常，立即通知</w:t>
            </w:r>
            <w:r>
              <w:rPr>
                <w:rFonts w:hint="eastAsia" w:ascii="宋体" w:hAnsi="宋体" w:eastAsia="宋体" w:cs="宋体"/>
                <w:color w:val="auto"/>
                <w:sz w:val="24"/>
                <w:szCs w:val="24"/>
                <w:lang w:val="en-US" w:eastAsia="zh-CN"/>
              </w:rPr>
              <w:t>北海</w:t>
            </w:r>
            <w:r>
              <w:rPr>
                <w:rFonts w:hint="eastAsia" w:ascii="宋体" w:hAnsi="宋体" w:eastAsia="宋体" w:cs="宋体"/>
                <w:color w:val="auto"/>
                <w:sz w:val="24"/>
                <w:szCs w:val="24"/>
              </w:rPr>
              <w:t>中心，在每日6时～23时出现的异常，在4小时内解决（通信线路、电力线路故障除外，但应及时与相关部门联系积极解决）</w:t>
            </w:r>
            <w:r>
              <w:rPr>
                <w:rFonts w:hint="eastAsia" w:ascii="宋体" w:hAnsi="宋体" w:eastAsia="宋体" w:cs="宋体"/>
                <w:color w:val="auto"/>
                <w:sz w:val="24"/>
                <w:szCs w:val="24"/>
                <w:lang w:eastAsia="zh-CN"/>
              </w:rPr>
              <w:t>。</w:t>
            </w:r>
          </w:p>
          <w:p w14:paraId="6682C360">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发生重污染天气等特殊情况后，在4小时内开展相应的运行维护工作</w:t>
            </w:r>
            <w:r>
              <w:rPr>
                <w:rFonts w:hint="eastAsia" w:ascii="宋体" w:hAnsi="宋体" w:eastAsia="宋体" w:cs="宋体"/>
                <w:color w:val="auto"/>
                <w:sz w:val="24"/>
                <w:szCs w:val="24"/>
                <w:lang w:eastAsia="zh-CN"/>
              </w:rPr>
              <w:t>。</w:t>
            </w:r>
          </w:p>
          <w:p w14:paraId="09E0A39A">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根据数据分析结果、设备状态参数和仪器故障报警信号，判断仪器运行情况和现场状况；对于非甲烷总烃设备，须检查分析模块的FID温度、柱箱温度、柱前压、保留时间等重要参数是否正常。</w:t>
            </w:r>
          </w:p>
          <w:p w14:paraId="1B60C818">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每日检查数据是否及时上传自治区生态环境监测中心、中国环境监测总站并正常发布，发现数据断网及时恢复。</w:t>
            </w:r>
          </w:p>
          <w:p w14:paraId="470A19FD">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对区控市</w:t>
            </w:r>
            <w:r>
              <w:rPr>
                <w:rFonts w:hint="eastAsia" w:ascii="宋体" w:hAnsi="宋体" w:eastAsia="宋体" w:cs="宋体"/>
                <w:color w:val="auto"/>
                <w:sz w:val="24"/>
                <w:szCs w:val="24"/>
                <w:lang w:val="en-US" w:eastAsia="zh-CN"/>
              </w:rPr>
              <w:t>级</w:t>
            </w:r>
            <w:r>
              <w:rPr>
                <w:rFonts w:hint="eastAsia" w:ascii="宋体" w:hAnsi="宋体" w:eastAsia="宋体" w:cs="宋体"/>
                <w:color w:val="auto"/>
                <w:sz w:val="24"/>
                <w:szCs w:val="24"/>
              </w:rPr>
              <w:t>站监测数据进行审核，并将审核数据按时提交</w:t>
            </w:r>
            <w:r>
              <w:rPr>
                <w:rFonts w:hint="eastAsia" w:ascii="宋体" w:hAnsi="宋体" w:eastAsia="宋体" w:cs="宋体"/>
                <w:color w:val="auto"/>
                <w:sz w:val="24"/>
                <w:szCs w:val="24"/>
                <w:lang w:val="en-US" w:eastAsia="zh-CN"/>
              </w:rPr>
              <w:t>报送北海</w:t>
            </w:r>
            <w:r>
              <w:rPr>
                <w:rFonts w:hint="eastAsia" w:ascii="宋体" w:hAnsi="宋体" w:eastAsia="宋体" w:cs="宋体"/>
                <w:color w:val="auto"/>
                <w:sz w:val="24"/>
                <w:szCs w:val="24"/>
              </w:rPr>
              <w:t>中心。</w:t>
            </w:r>
          </w:p>
          <w:p w14:paraId="36BE9800">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rPr>
              <w:t>每日12时前完成区控空气自动监测站前日各站点原始小时值的审核，报送</w:t>
            </w:r>
            <w:r>
              <w:rPr>
                <w:rFonts w:hint="eastAsia" w:ascii="宋体" w:hAnsi="宋体" w:eastAsia="宋体" w:cs="宋体"/>
                <w:color w:val="auto"/>
                <w:sz w:val="24"/>
                <w:szCs w:val="24"/>
                <w:lang w:val="en-US" w:eastAsia="zh-CN"/>
              </w:rPr>
              <w:t>北海</w:t>
            </w:r>
            <w:r>
              <w:rPr>
                <w:rFonts w:hint="eastAsia" w:ascii="宋体" w:hAnsi="宋体" w:eastAsia="宋体" w:cs="宋体"/>
                <w:color w:val="auto"/>
                <w:sz w:val="24"/>
                <w:szCs w:val="24"/>
              </w:rPr>
              <w:t>中心复核。对复核不通过的数据，需于次日12时前再次审核后上报。再次审核报送的数据仍未通过复核的，以</w:t>
            </w:r>
            <w:r>
              <w:rPr>
                <w:rFonts w:hint="eastAsia" w:ascii="宋体" w:hAnsi="宋体" w:eastAsia="宋体" w:cs="宋体"/>
                <w:color w:val="auto"/>
                <w:sz w:val="24"/>
                <w:szCs w:val="24"/>
                <w:lang w:val="en-US" w:eastAsia="zh-CN"/>
              </w:rPr>
              <w:t>北海</w:t>
            </w:r>
            <w:r>
              <w:rPr>
                <w:rFonts w:hint="eastAsia" w:ascii="宋体" w:hAnsi="宋体" w:eastAsia="宋体" w:cs="宋体"/>
                <w:color w:val="auto"/>
                <w:sz w:val="24"/>
                <w:szCs w:val="24"/>
              </w:rPr>
              <w:t>中心最终复核结果为准。当天因网络故障等原因未能完成数据审核报送的，可顺延1日审核报送，最多顺延2日。每月2日18时前须完成前一月的小时数据审核及复核入库工作。</w:t>
            </w:r>
          </w:p>
          <w:p w14:paraId="4B524DEB">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2.3每周工作内容</w:t>
            </w:r>
          </w:p>
          <w:p w14:paraId="495F398C">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rPr>
              <w:t>每周至少巡视区控市</w:t>
            </w:r>
            <w:r>
              <w:rPr>
                <w:rFonts w:hint="eastAsia" w:ascii="宋体" w:hAnsi="宋体" w:eastAsia="宋体" w:cs="宋体"/>
                <w:color w:val="auto"/>
                <w:sz w:val="24"/>
                <w:szCs w:val="24"/>
                <w:lang w:val="en-US" w:eastAsia="zh-CN"/>
              </w:rPr>
              <w:t>级</w:t>
            </w:r>
            <w:r>
              <w:rPr>
                <w:rFonts w:hint="eastAsia" w:ascii="宋体" w:hAnsi="宋体" w:eastAsia="宋体" w:cs="宋体"/>
                <w:color w:val="auto"/>
                <w:sz w:val="24"/>
                <w:szCs w:val="24"/>
              </w:rPr>
              <w:t>站1次，并做好巡查记录，巡检时需要完成的工作包括：</w:t>
            </w:r>
          </w:p>
          <w:p w14:paraId="50952B0B">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查看区控市</w:t>
            </w:r>
            <w:r>
              <w:rPr>
                <w:rFonts w:hint="eastAsia" w:ascii="宋体" w:hAnsi="宋体" w:eastAsia="宋体" w:cs="宋体"/>
                <w:color w:val="auto"/>
                <w:sz w:val="24"/>
                <w:szCs w:val="24"/>
                <w:lang w:val="en-US" w:eastAsia="zh-CN"/>
              </w:rPr>
              <w:t>级</w:t>
            </w:r>
            <w:r>
              <w:rPr>
                <w:rFonts w:hint="eastAsia" w:ascii="宋体" w:hAnsi="宋体" w:eastAsia="宋体" w:cs="宋体"/>
                <w:color w:val="auto"/>
                <w:sz w:val="24"/>
                <w:szCs w:val="24"/>
              </w:rPr>
              <w:t>站设备是否齐备，无丢失和损坏；检查接地线路是否可靠，排风排气装置工作是否正常，标准气钢瓶阀门是否漏气，标准气的消耗情况</w:t>
            </w:r>
            <w:r>
              <w:rPr>
                <w:rFonts w:hint="eastAsia" w:ascii="宋体" w:hAnsi="宋体" w:eastAsia="宋体" w:cs="宋体"/>
                <w:color w:val="auto"/>
                <w:sz w:val="24"/>
                <w:szCs w:val="24"/>
                <w:lang w:eastAsia="zh-CN"/>
              </w:rPr>
              <w:t>。</w:t>
            </w:r>
          </w:p>
          <w:p w14:paraId="0A260ADC">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检查采样和排气管路是否有漏气或堵塞现象，各监测仪器采样流量是否正常。</w:t>
            </w:r>
          </w:p>
          <w:p w14:paraId="739C2110">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检查各监测仪器的运行状况和工作参数，判断是否正常，如有异常情况及时处理，保证仪器运行正常。</w:t>
            </w:r>
          </w:p>
          <w:p w14:paraId="0508FE5F">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检查PM</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和PM</w:t>
            </w:r>
            <w:r>
              <w:rPr>
                <w:rFonts w:hint="eastAsia" w:ascii="宋体" w:hAnsi="宋体" w:eastAsia="宋体" w:cs="宋体"/>
                <w:color w:val="auto"/>
                <w:sz w:val="24"/>
                <w:szCs w:val="24"/>
                <w:vertAlign w:val="subscript"/>
              </w:rPr>
              <w:t>2.5</w:t>
            </w:r>
            <w:r>
              <w:rPr>
                <w:rFonts w:hint="eastAsia" w:ascii="宋体" w:hAnsi="宋体" w:eastAsia="宋体" w:cs="宋体"/>
                <w:color w:val="auto"/>
                <w:sz w:val="24"/>
                <w:szCs w:val="24"/>
              </w:rPr>
              <w:t>监测仪动态加热装置及采样总管加热装置是否正常工作</w:t>
            </w:r>
            <w:r>
              <w:rPr>
                <w:rFonts w:hint="eastAsia" w:ascii="宋体" w:hAnsi="宋体" w:eastAsia="宋体" w:cs="宋体"/>
                <w:color w:val="auto"/>
                <w:sz w:val="24"/>
                <w:szCs w:val="24"/>
                <w:lang w:eastAsia="zh-CN"/>
              </w:rPr>
              <w:t>。</w:t>
            </w:r>
          </w:p>
          <w:p w14:paraId="0317966F">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对二氧化硫、一氧化碳、臭氧、氮氧化物监测仪进行零点、跨度检查，对PM</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和PM</w:t>
            </w:r>
            <w:r>
              <w:rPr>
                <w:rFonts w:hint="eastAsia" w:ascii="宋体" w:hAnsi="宋体" w:eastAsia="宋体" w:cs="宋体"/>
                <w:color w:val="auto"/>
                <w:sz w:val="24"/>
                <w:szCs w:val="24"/>
                <w:vertAlign w:val="subscript"/>
              </w:rPr>
              <w:t>2.5</w:t>
            </w:r>
            <w:r>
              <w:rPr>
                <w:rFonts w:hint="eastAsia" w:ascii="宋体" w:hAnsi="宋体" w:eastAsia="宋体" w:cs="宋体"/>
                <w:color w:val="auto"/>
                <w:sz w:val="24"/>
                <w:szCs w:val="24"/>
              </w:rPr>
              <w:t>监测仪</w:t>
            </w:r>
            <w:r>
              <w:rPr>
                <w:rFonts w:hint="eastAsia" w:ascii="宋体" w:hAnsi="宋体" w:eastAsia="宋体" w:cs="宋体"/>
                <w:color w:val="auto"/>
                <w:sz w:val="24"/>
                <w:szCs w:val="24"/>
                <w:lang w:val="en-US" w:eastAsia="zh-CN"/>
              </w:rPr>
              <w:t>进行流量检查，</w:t>
            </w:r>
            <w:r>
              <w:rPr>
                <w:rFonts w:hint="eastAsia" w:ascii="宋体" w:hAnsi="宋体" w:eastAsia="宋体" w:cs="宋体"/>
                <w:color w:val="auto"/>
                <w:sz w:val="24"/>
                <w:szCs w:val="24"/>
              </w:rPr>
              <w:t>如果漂移超过国家相关规范要求，需要进行校准或维修。</w:t>
            </w:r>
          </w:p>
          <w:p w14:paraId="7DBAA6FE">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非甲烷总烃设备，须对气相色谱、检测器的参数设置和运行情况进行检查并做好记录，包括氢气发生器、载气、零空气供应情况以及主要性能指标检查，并做好定量保留时间范围校准记录；开展空白检查、标点（甲烷2000ppb和丙烷500ppb）检查，若空白检查测定浓度大于方法检出限或者定量误差超出10%，应进行校准。</w:t>
            </w:r>
          </w:p>
          <w:p w14:paraId="39A4C549">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按照仪器说明书要求，对零气发生器进行维护。</w:t>
            </w:r>
          </w:p>
          <w:p w14:paraId="74713758">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检查外部环境是否正常，有没有对测定结果或运行环境存在明显影响的污染源</w:t>
            </w:r>
            <w:r>
              <w:rPr>
                <w:rFonts w:hint="eastAsia" w:ascii="宋体" w:hAnsi="宋体" w:eastAsia="宋体" w:cs="宋体"/>
                <w:color w:val="auto"/>
                <w:sz w:val="24"/>
                <w:szCs w:val="24"/>
                <w:lang w:eastAsia="zh-CN"/>
              </w:rPr>
              <w:t>。</w:t>
            </w:r>
          </w:p>
          <w:p w14:paraId="08AD5D93">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检查电路系统和通讯系统，保证系统供电正常，电压稳定</w:t>
            </w:r>
            <w:r>
              <w:rPr>
                <w:rFonts w:hint="eastAsia" w:ascii="宋体" w:hAnsi="宋体" w:eastAsia="宋体" w:cs="宋体"/>
                <w:color w:val="auto"/>
                <w:sz w:val="24"/>
                <w:szCs w:val="24"/>
                <w:lang w:eastAsia="zh-CN"/>
              </w:rPr>
              <w:t>。</w:t>
            </w:r>
          </w:p>
          <w:p w14:paraId="29E48705">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检查市</w:t>
            </w:r>
            <w:r>
              <w:rPr>
                <w:rFonts w:hint="eastAsia" w:ascii="宋体" w:hAnsi="宋体" w:eastAsia="宋体" w:cs="宋体"/>
                <w:color w:val="auto"/>
                <w:sz w:val="24"/>
                <w:szCs w:val="24"/>
                <w:lang w:val="en-US" w:eastAsia="zh-CN"/>
              </w:rPr>
              <w:t>级</w:t>
            </w:r>
            <w:r>
              <w:rPr>
                <w:rFonts w:hint="eastAsia" w:ascii="宋体" w:hAnsi="宋体" w:eastAsia="宋体" w:cs="宋体"/>
                <w:color w:val="auto"/>
                <w:sz w:val="24"/>
                <w:szCs w:val="24"/>
              </w:rPr>
              <w:t>的通讯系统，保证区控空气自动监测站与远程监控中心的连接正常，数据传输正常。</w:t>
            </w:r>
          </w:p>
          <w:p w14:paraId="11284D01">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对仪器显示数据、时间与数据采集仪之间的一致性进行检查和校准。</w:t>
            </w:r>
          </w:p>
          <w:p w14:paraId="2BA45314">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检查监测仪器的采样入口与采样支路管线结合部之间安装的过滤膜的污染情况，至少每2周更换滤膜，每周检查监测仪器散热风扇污染情况，及时清洗。</w:t>
            </w:r>
          </w:p>
          <w:p w14:paraId="3EEF43A0">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在冬、夏季节注意区控市</w:t>
            </w:r>
            <w:r>
              <w:rPr>
                <w:rFonts w:hint="eastAsia" w:ascii="宋体" w:hAnsi="宋体" w:eastAsia="宋体" w:cs="宋体"/>
                <w:color w:val="auto"/>
                <w:sz w:val="24"/>
                <w:szCs w:val="24"/>
                <w:lang w:val="en-US" w:eastAsia="zh-CN"/>
              </w:rPr>
              <w:t>级</w:t>
            </w:r>
            <w:r>
              <w:rPr>
                <w:rFonts w:hint="eastAsia" w:ascii="宋体" w:hAnsi="宋体" w:eastAsia="宋体" w:cs="宋体"/>
                <w:color w:val="auto"/>
                <w:sz w:val="24"/>
                <w:szCs w:val="24"/>
              </w:rPr>
              <w:t>站房室内外温差，若温差较大，及时改变站房温度或对采样总管采取适当的控制措施，防止冷凝现象。</w:t>
            </w:r>
          </w:p>
          <w:p w14:paraId="004EFD5B">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及时清除区控城市站房周围的杂草和积水，当周围树木生长超过规范规定的控制限时，应及时剪除对采样或监测光束有影响的树枝。</w:t>
            </w:r>
          </w:p>
          <w:p w14:paraId="2D68F54E">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经常检查避雷设施是否可靠，区控市</w:t>
            </w:r>
            <w:r>
              <w:rPr>
                <w:rFonts w:hint="eastAsia" w:ascii="宋体" w:hAnsi="宋体" w:eastAsia="宋体" w:cs="宋体"/>
                <w:color w:val="auto"/>
                <w:sz w:val="24"/>
                <w:szCs w:val="24"/>
                <w:lang w:val="en-US" w:eastAsia="zh-CN"/>
              </w:rPr>
              <w:t>级</w:t>
            </w:r>
            <w:r>
              <w:rPr>
                <w:rFonts w:hint="eastAsia" w:ascii="宋体" w:hAnsi="宋体" w:eastAsia="宋体" w:cs="宋体"/>
                <w:color w:val="auto"/>
                <w:sz w:val="24"/>
                <w:szCs w:val="24"/>
              </w:rPr>
              <w:t>站房屋是否有漏雨现象，气象杆和天线是否被刮坏，站房外围的其它设施是否有损坏或被水淹，如遇到以上问题及时处理，保证系统安全运行。</w:t>
            </w:r>
          </w:p>
          <w:p w14:paraId="79054C79">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检查站房的安全设施，做好防火防盗工作。</w:t>
            </w:r>
          </w:p>
          <w:p w14:paraId="1280BFC6">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每周对气象仪器及能见度仪的运行情况进行检查。</w:t>
            </w:r>
          </w:p>
          <w:p w14:paraId="6B1ED5E1">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每周对颗粒物的采样纸带或滤膜进行检查，如纸带即将用尽或滤膜负载超过规定要求，及时进行更换。</w:t>
            </w:r>
          </w:p>
          <w:p w14:paraId="160AD309">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每周检查视频监控系统，并做好视频系统的日常维护。若发现人为干扰干预环境空气质量监测的行为，及时向</w:t>
            </w:r>
            <w:r>
              <w:rPr>
                <w:rFonts w:hint="eastAsia" w:ascii="宋体" w:hAnsi="宋体" w:eastAsia="宋体" w:cs="宋体"/>
                <w:color w:val="auto"/>
                <w:sz w:val="24"/>
                <w:szCs w:val="24"/>
                <w:lang w:val="en-US" w:eastAsia="zh-CN"/>
              </w:rPr>
              <w:t>北海</w:t>
            </w:r>
            <w:r>
              <w:rPr>
                <w:rFonts w:hint="eastAsia" w:ascii="宋体" w:hAnsi="宋体" w:eastAsia="宋体" w:cs="宋体"/>
                <w:color w:val="auto"/>
                <w:sz w:val="24"/>
                <w:szCs w:val="24"/>
              </w:rPr>
              <w:t>中心汇报。</w:t>
            </w:r>
          </w:p>
          <w:p w14:paraId="408BBF78">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每周对站房内外环境卫生进行检查，及时保洁。</w:t>
            </w:r>
          </w:p>
          <w:p w14:paraId="7153BF4E">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2.4每月工作内容</w:t>
            </w:r>
          </w:p>
          <w:p w14:paraId="5FB5520B">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清洗PM</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及PM</w:t>
            </w:r>
            <w:r>
              <w:rPr>
                <w:rFonts w:hint="eastAsia" w:ascii="宋体" w:hAnsi="宋体" w:eastAsia="宋体" w:cs="宋体"/>
                <w:color w:val="auto"/>
                <w:sz w:val="24"/>
                <w:szCs w:val="24"/>
                <w:vertAlign w:val="subscript"/>
              </w:rPr>
              <w:t>2.5</w:t>
            </w:r>
            <w:r>
              <w:rPr>
                <w:rFonts w:hint="eastAsia" w:ascii="宋体" w:hAnsi="宋体" w:eastAsia="宋体" w:cs="宋体"/>
                <w:color w:val="auto"/>
                <w:sz w:val="24"/>
                <w:szCs w:val="24"/>
              </w:rPr>
              <w:t>采样头，检查β法颗粒物监测仪仪器喷嘴、压环、密封圈等部件。</w:t>
            </w:r>
          </w:p>
          <w:p w14:paraId="2C6069D2">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检查PM</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及PM</w:t>
            </w:r>
            <w:r>
              <w:rPr>
                <w:rFonts w:hint="eastAsia" w:ascii="宋体" w:hAnsi="宋体" w:eastAsia="宋体" w:cs="宋体"/>
                <w:color w:val="auto"/>
                <w:sz w:val="24"/>
                <w:szCs w:val="24"/>
                <w:vertAlign w:val="subscript"/>
              </w:rPr>
              <w:t>2.5</w:t>
            </w:r>
            <w:r>
              <w:rPr>
                <w:rFonts w:hint="eastAsia" w:ascii="宋体" w:hAnsi="宋体" w:eastAsia="宋体" w:cs="宋体"/>
                <w:color w:val="auto"/>
                <w:sz w:val="24"/>
                <w:szCs w:val="24"/>
              </w:rPr>
              <w:t>监测仪、气态监测仪、非甲烷总烃分析仪、动态校准仪流量，超过国家相关规范要求时进行校准。</w:t>
            </w:r>
          </w:p>
          <w:p w14:paraId="7A56FCDA">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备份数据，包括监测数据、日常的质控核查记录等。</w:t>
            </w:r>
          </w:p>
          <w:p w14:paraId="431B8B32">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2.5每季度工作内容</w:t>
            </w:r>
          </w:p>
          <w:p w14:paraId="44F54F11">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采样总管及采样风机每季度至少清洗一次</w:t>
            </w:r>
            <w:r>
              <w:rPr>
                <w:rFonts w:hint="eastAsia" w:ascii="宋体" w:hAnsi="宋体" w:eastAsia="宋体" w:cs="宋体"/>
                <w:color w:val="auto"/>
                <w:sz w:val="24"/>
                <w:szCs w:val="24"/>
                <w:lang w:eastAsia="zh-CN"/>
              </w:rPr>
              <w:t>。</w:t>
            </w:r>
          </w:p>
          <w:p w14:paraId="7DA3908D">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对PM</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和PM</w:t>
            </w:r>
            <w:r>
              <w:rPr>
                <w:rFonts w:hint="eastAsia" w:ascii="宋体" w:hAnsi="宋体" w:eastAsia="宋体" w:cs="宋体"/>
                <w:color w:val="auto"/>
                <w:sz w:val="24"/>
                <w:szCs w:val="24"/>
                <w:vertAlign w:val="subscript"/>
              </w:rPr>
              <w:t>2.5</w:t>
            </w:r>
            <w:r>
              <w:rPr>
                <w:rFonts w:hint="eastAsia" w:ascii="宋体" w:hAnsi="宋体" w:eastAsia="宋体" w:cs="宋体"/>
                <w:color w:val="auto"/>
                <w:sz w:val="24"/>
                <w:szCs w:val="24"/>
              </w:rPr>
              <w:t>监测仪器进行标准膜检查，超过国家相关规范要求时，及时进行校准或维修</w:t>
            </w:r>
            <w:r>
              <w:rPr>
                <w:rFonts w:hint="eastAsia" w:ascii="宋体" w:hAnsi="宋体" w:eastAsia="宋体" w:cs="宋体"/>
                <w:color w:val="auto"/>
                <w:sz w:val="24"/>
                <w:szCs w:val="24"/>
                <w:lang w:eastAsia="zh-CN"/>
              </w:rPr>
              <w:t>。</w:t>
            </w:r>
          </w:p>
          <w:p w14:paraId="27396EE1">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采用臭氧传递标准对区控市</w:t>
            </w:r>
            <w:r>
              <w:rPr>
                <w:rFonts w:hint="eastAsia" w:ascii="宋体" w:hAnsi="宋体" w:eastAsia="宋体" w:cs="宋体"/>
                <w:color w:val="auto"/>
                <w:sz w:val="24"/>
                <w:szCs w:val="24"/>
                <w:lang w:val="en-US" w:eastAsia="zh-CN"/>
              </w:rPr>
              <w:t>级</w:t>
            </w:r>
            <w:r>
              <w:rPr>
                <w:rFonts w:hint="eastAsia" w:ascii="宋体" w:hAnsi="宋体" w:eastAsia="宋体" w:cs="宋体"/>
                <w:color w:val="auto"/>
                <w:sz w:val="24"/>
                <w:szCs w:val="24"/>
              </w:rPr>
              <w:t>站臭氧工作标准进行标准传递</w:t>
            </w:r>
            <w:r>
              <w:rPr>
                <w:rFonts w:hint="eastAsia" w:ascii="宋体" w:hAnsi="宋体" w:eastAsia="宋体" w:cs="宋体"/>
                <w:color w:val="auto"/>
                <w:sz w:val="24"/>
                <w:szCs w:val="24"/>
                <w:lang w:eastAsia="zh-CN"/>
              </w:rPr>
              <w:t>。</w:t>
            </w:r>
          </w:p>
          <w:p w14:paraId="09498B99">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检查和校准PM</w:t>
            </w:r>
            <w:r>
              <w:rPr>
                <w:rFonts w:hint="eastAsia" w:ascii="宋体" w:hAnsi="宋体" w:eastAsia="宋体" w:cs="宋体"/>
                <w:color w:val="auto"/>
                <w:sz w:val="24"/>
                <w:szCs w:val="24"/>
                <w:vertAlign w:val="subscript"/>
              </w:rPr>
              <w:t>2.5</w:t>
            </w:r>
            <w:r>
              <w:rPr>
                <w:rFonts w:hint="eastAsia" w:ascii="宋体" w:hAnsi="宋体" w:eastAsia="宋体" w:cs="宋体"/>
                <w:color w:val="auto"/>
                <w:sz w:val="24"/>
                <w:szCs w:val="24"/>
              </w:rPr>
              <w:t>、PM</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监测仪相对湿度、温度传感器和压力传感器。</w:t>
            </w:r>
          </w:p>
          <w:p w14:paraId="0AF2E922">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对非甲烷总烃分析仪进行多点校准曲线检查，曲线至少包含5点。要求甲烷和非甲烷总烃校准曲线的相关系数R2≥0.999，校准曲线上各浓度点残差与理论浓度的比值应在±10%以内。</w:t>
            </w:r>
          </w:p>
          <w:p w14:paraId="1BDF0960">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2.6每半年工作内容</w:t>
            </w:r>
          </w:p>
          <w:p w14:paraId="355013B6">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对气态污染物监测仪进行多点校准，绘制校准曲线，检验相关系数、斜率和截距</w:t>
            </w:r>
            <w:r>
              <w:rPr>
                <w:rFonts w:hint="eastAsia" w:ascii="宋体" w:hAnsi="宋体" w:eastAsia="宋体" w:cs="宋体"/>
                <w:color w:val="auto"/>
                <w:sz w:val="24"/>
                <w:szCs w:val="24"/>
                <w:lang w:eastAsia="zh-CN"/>
              </w:rPr>
              <w:t>。</w:t>
            </w:r>
          </w:p>
          <w:p w14:paraId="4AE39A3A">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对动态校准仪流量进行多点检查</w:t>
            </w:r>
            <w:r>
              <w:rPr>
                <w:rFonts w:hint="eastAsia" w:ascii="宋体" w:hAnsi="宋体" w:eastAsia="宋体" w:cs="宋体"/>
                <w:color w:val="auto"/>
                <w:sz w:val="24"/>
                <w:szCs w:val="24"/>
                <w:lang w:eastAsia="zh-CN"/>
              </w:rPr>
              <w:t>。</w:t>
            </w:r>
          </w:p>
          <w:p w14:paraId="32A67B64">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更换零气源净化剂和氧化剂，对零气性能进行检查</w:t>
            </w:r>
            <w:r>
              <w:rPr>
                <w:rFonts w:hint="eastAsia" w:ascii="宋体" w:hAnsi="宋体" w:eastAsia="宋体" w:cs="宋体"/>
                <w:color w:val="auto"/>
                <w:sz w:val="24"/>
                <w:szCs w:val="24"/>
                <w:lang w:eastAsia="zh-CN"/>
              </w:rPr>
              <w:t>。</w:t>
            </w:r>
          </w:p>
          <w:p w14:paraId="17DDA219">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对氮氧化物监测仪钼炉转化率进行检查。</w:t>
            </w:r>
          </w:p>
          <w:p w14:paraId="650AC423">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对能见度仪器进行校准。</w:t>
            </w:r>
          </w:p>
          <w:p w14:paraId="754E72BB">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2.7每年工作内容</w:t>
            </w:r>
          </w:p>
          <w:p w14:paraId="10A5081F">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rPr>
            </w:pPr>
            <w:r>
              <w:rPr>
                <w:rFonts w:hint="eastAsia" w:ascii="宋体" w:hAnsi="宋体" w:eastAsia="宋体" w:cs="宋体"/>
                <w:color w:val="auto"/>
                <w:sz w:val="24"/>
                <w:szCs w:val="24"/>
              </w:rPr>
              <w:t>对所有的仪器（包括采样泵）进行预防性维护，按说明书的要求更换耗材和备件。保养与维修后，须进行多点校准、稳定性、准确性和检出限等测定，测定结果须满足国家相关规范要求。</w:t>
            </w:r>
          </w:p>
          <w:p w14:paraId="62A59433">
            <w:pPr>
              <w:tabs>
                <w:tab w:val="left" w:pos="2280"/>
              </w:tabs>
              <w:spacing w:before="0" w:beforeAutospacing="0" w:after="0" w:afterAutospacing="0" w:line="540" w:lineRule="exact"/>
              <w:ind w:left="0" w:right="0" w:firstLine="480" w:firstLineChars="200"/>
              <w:contextualSpacing/>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3.档案管理</w:t>
            </w:r>
          </w:p>
          <w:p w14:paraId="1D1314E6">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运维</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应做好日常</w:t>
            </w:r>
            <w:r>
              <w:rPr>
                <w:rFonts w:hint="eastAsia" w:ascii="宋体" w:hAnsi="宋体" w:eastAsia="宋体" w:cs="宋体"/>
                <w:color w:val="auto"/>
                <w:sz w:val="24"/>
                <w:szCs w:val="24"/>
                <w:highlight w:val="none"/>
                <w:lang w:val="en-US" w:eastAsia="zh-CN"/>
              </w:rPr>
              <w:t>运维记录档案的规范管理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按规范要求</w:t>
            </w:r>
            <w:r>
              <w:rPr>
                <w:rFonts w:hint="eastAsia" w:ascii="宋体" w:hAnsi="宋体" w:eastAsia="宋体" w:cs="宋体"/>
                <w:color w:val="auto"/>
                <w:sz w:val="24"/>
                <w:szCs w:val="24"/>
                <w:highlight w:val="none"/>
              </w:rPr>
              <w:t>详细记录两个空气站</w:t>
            </w:r>
            <w:r>
              <w:rPr>
                <w:rFonts w:hint="eastAsia" w:ascii="宋体" w:hAnsi="宋体" w:eastAsia="宋体" w:cs="宋体"/>
                <w:color w:val="auto"/>
                <w:sz w:val="24"/>
                <w:szCs w:val="24"/>
                <w:highlight w:val="none"/>
                <w:lang w:val="en-US" w:eastAsia="zh-CN"/>
              </w:rPr>
              <w:t>点</w:t>
            </w:r>
            <w:r>
              <w:rPr>
                <w:rFonts w:hint="eastAsia" w:ascii="宋体" w:hAnsi="宋体" w:eastAsia="宋体" w:cs="宋体"/>
                <w:color w:val="auto"/>
                <w:sz w:val="24"/>
                <w:szCs w:val="24"/>
                <w:highlight w:val="none"/>
              </w:rPr>
              <w:t>的运维工作，</w:t>
            </w:r>
            <w:r>
              <w:rPr>
                <w:rFonts w:hint="eastAsia" w:ascii="宋体" w:hAnsi="宋体" w:eastAsia="宋体" w:cs="宋体"/>
                <w:color w:val="auto"/>
                <w:sz w:val="24"/>
                <w:szCs w:val="24"/>
                <w:highlight w:val="none"/>
                <w:lang w:val="en-US" w:eastAsia="zh-CN"/>
              </w:rPr>
              <w:t>及时分类</w:t>
            </w:r>
            <w:r>
              <w:rPr>
                <w:rFonts w:hint="eastAsia" w:ascii="宋体" w:hAnsi="宋体" w:eastAsia="宋体" w:cs="宋体"/>
                <w:color w:val="auto"/>
                <w:sz w:val="24"/>
                <w:szCs w:val="24"/>
                <w:highlight w:val="none"/>
              </w:rPr>
              <w:t>归档</w:t>
            </w:r>
            <w:r>
              <w:rPr>
                <w:rFonts w:hint="eastAsia" w:ascii="宋体" w:hAnsi="宋体" w:eastAsia="宋体" w:cs="宋体"/>
                <w:color w:val="auto"/>
                <w:sz w:val="24"/>
                <w:szCs w:val="24"/>
                <w:highlight w:val="none"/>
                <w:lang w:val="en-US" w:eastAsia="zh-CN"/>
              </w:rPr>
              <w:t>装订成册</w:t>
            </w:r>
            <w:r>
              <w:rPr>
                <w:rFonts w:hint="eastAsia" w:ascii="宋体" w:hAnsi="宋体" w:eastAsia="宋体" w:cs="宋体"/>
                <w:color w:val="auto"/>
                <w:sz w:val="24"/>
                <w:szCs w:val="24"/>
                <w:highlight w:val="none"/>
              </w:rPr>
              <w:t>。日常运维中使用的相关记录表格，应当使用自治区生态环境监测中心制定的统一样式表格</w:t>
            </w:r>
            <w:r>
              <w:rPr>
                <w:rFonts w:hint="eastAsia" w:ascii="宋体" w:hAnsi="宋体" w:eastAsia="宋体" w:cs="宋体"/>
                <w:color w:val="auto"/>
                <w:sz w:val="24"/>
                <w:szCs w:val="24"/>
                <w:lang w:eastAsia="zh-CN"/>
              </w:rPr>
              <w:t>。</w:t>
            </w:r>
          </w:p>
          <w:p w14:paraId="5A526CB9">
            <w:pPr>
              <w:pStyle w:val="10"/>
              <w:numPr>
                <w:ilvl w:val="0"/>
                <w:numId w:val="0"/>
              </w:numPr>
              <w:autoSpaceDE/>
              <w:autoSpaceDN/>
              <w:spacing w:before="0" w:beforeAutospacing="0" w:after="0" w:afterAutospacing="0" w:line="560" w:lineRule="exact"/>
              <w:ind w:left="0" w:right="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（四）大气降水</w:t>
            </w:r>
            <w:r>
              <w:rPr>
                <w:rFonts w:hint="eastAsia" w:ascii="宋体" w:hAnsi="宋体" w:eastAsia="宋体" w:cs="宋体"/>
                <w:b/>
                <w:bCs/>
                <w:color w:val="auto"/>
                <w:sz w:val="24"/>
                <w:szCs w:val="24"/>
                <w:lang w:eastAsia="zh-CN"/>
              </w:rPr>
              <w:t>运维方服务内容和</w:t>
            </w:r>
            <w:r>
              <w:rPr>
                <w:rFonts w:hint="eastAsia" w:ascii="宋体" w:hAnsi="宋体" w:eastAsia="宋体" w:cs="宋体"/>
                <w:b/>
                <w:bCs/>
                <w:color w:val="auto"/>
                <w:sz w:val="24"/>
                <w:szCs w:val="24"/>
              </w:rPr>
              <w:t>监测管理要求</w:t>
            </w:r>
          </w:p>
          <w:p w14:paraId="7F1F4934">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日常运维</w:t>
            </w:r>
            <w:r>
              <w:rPr>
                <w:rFonts w:hint="eastAsia" w:ascii="宋体" w:hAnsi="宋体" w:eastAsia="宋体" w:cs="宋体"/>
                <w:color w:val="auto"/>
                <w:sz w:val="24"/>
                <w:szCs w:val="24"/>
                <w:lang w:eastAsia="zh-CN"/>
              </w:rPr>
              <w:t>主要</w:t>
            </w:r>
            <w:r>
              <w:rPr>
                <w:rFonts w:hint="eastAsia" w:ascii="宋体" w:hAnsi="宋体" w:eastAsia="宋体" w:cs="宋体"/>
                <w:color w:val="auto"/>
                <w:sz w:val="24"/>
                <w:szCs w:val="24"/>
              </w:rPr>
              <w:t>工作</w:t>
            </w:r>
          </w:p>
          <w:p w14:paraId="7EA2CAC1">
            <w:pPr>
              <w:spacing w:before="0" w:beforeAutospacing="0" w:after="0" w:afterAutospacing="0" w:line="360" w:lineRule="auto"/>
              <w:ind w:left="0" w:right="0"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rPr>
              <w:t>每日工作</w:t>
            </w:r>
          </w:p>
          <w:p w14:paraId="41F1CF98">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按照《酸沉降监测技术规范》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HJ/T165-2004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要求清洗采样瓶，晾干备用；准备冷藏箱、样品标签、样品交接记录表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标签内容按照</w:t>
            </w:r>
            <w:r>
              <w:rPr>
                <w:rFonts w:hint="eastAsia" w:ascii="宋体" w:hAnsi="宋体" w:eastAsia="宋体" w:cs="宋体"/>
                <w:color w:val="auto"/>
                <w:sz w:val="24"/>
                <w:szCs w:val="24"/>
                <w:lang w:eastAsia="zh-CN"/>
              </w:rPr>
              <w:t>北海中心</w:t>
            </w:r>
            <w:r>
              <w:rPr>
                <w:rFonts w:hint="eastAsia" w:ascii="宋体" w:hAnsi="宋体" w:eastAsia="宋体" w:cs="宋体"/>
                <w:color w:val="auto"/>
                <w:sz w:val="24"/>
                <w:szCs w:val="24"/>
              </w:rPr>
              <w:t>的要求填写。</w:t>
            </w:r>
          </w:p>
          <w:p w14:paraId="285CFE4F">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每天登录平台查看降水信息，</w:t>
            </w:r>
            <w:r>
              <w:rPr>
                <w:rFonts w:hint="eastAsia" w:ascii="宋体" w:hAnsi="宋体" w:eastAsia="宋体" w:cs="宋体"/>
                <w:color w:val="auto"/>
                <w:sz w:val="24"/>
                <w:szCs w:val="24"/>
              </w:rPr>
              <w:t>按规范收集样品，填写采</w:t>
            </w:r>
            <w:r>
              <w:rPr>
                <w:rFonts w:hint="eastAsia" w:ascii="宋体" w:hAnsi="宋体" w:eastAsia="宋体" w:cs="宋体"/>
                <w:color w:val="auto"/>
                <w:sz w:val="24"/>
                <w:szCs w:val="24"/>
                <w:lang w:eastAsia="zh-CN"/>
              </w:rPr>
              <w:t>样</w:t>
            </w:r>
            <w:r>
              <w:rPr>
                <w:rFonts w:hint="eastAsia" w:ascii="宋体" w:hAnsi="宋体" w:eastAsia="宋体" w:cs="宋体"/>
                <w:color w:val="auto"/>
                <w:sz w:val="24"/>
                <w:szCs w:val="24"/>
              </w:rPr>
              <w:t>送样交接记录表；查看仪器状态</w:t>
            </w:r>
            <w:r>
              <w:rPr>
                <w:rFonts w:hint="eastAsia" w:ascii="宋体" w:hAnsi="宋体" w:eastAsia="宋体" w:cs="宋体"/>
                <w:color w:val="auto"/>
                <w:sz w:val="24"/>
                <w:szCs w:val="24"/>
                <w:lang w:val="en-US" w:eastAsia="zh-CN"/>
              </w:rPr>
              <w:t>和现场降水采集情况</w:t>
            </w:r>
            <w:r>
              <w:rPr>
                <w:rFonts w:hint="eastAsia" w:ascii="宋体" w:hAnsi="宋体" w:eastAsia="宋体" w:cs="宋体"/>
                <w:color w:val="auto"/>
                <w:sz w:val="24"/>
                <w:szCs w:val="24"/>
              </w:rPr>
              <w:t>，确定pH值、电导率、降雨量是否需要实验室分析，并在表格勾选分析项目；观察周围环境，是否存在变化和明显污染源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及时汇报异常情况</w:t>
            </w:r>
            <w:r>
              <w:rPr>
                <w:rFonts w:hint="eastAsia" w:ascii="宋体" w:hAnsi="宋体" w:eastAsia="宋体" w:cs="宋体"/>
                <w:color w:val="auto"/>
                <w:sz w:val="24"/>
                <w:szCs w:val="24"/>
              </w:rPr>
              <w:t>；将采集的样品、采样仪器现场拍照，照片需有经纬度及采样时间的水印。</w:t>
            </w:r>
          </w:p>
          <w:p w14:paraId="52C58692">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放置洗涤干净的仪器收集瓶，恢复原始瓶数量。</w:t>
            </w:r>
          </w:p>
          <w:p w14:paraId="1F16A8A7">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瑞士DIGITEL仪器自动换瓶后，无论是否收集到样品，都需要清洗采样瓶。</w:t>
            </w:r>
          </w:p>
          <w:p w14:paraId="323D2D80">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关闭仪器箱门，并上锁。</w:t>
            </w:r>
          </w:p>
          <w:p w14:paraId="6264082A">
            <w:pPr>
              <w:spacing w:before="0" w:beforeAutospacing="0" w:after="0" w:afterAutospacing="0" w:line="360" w:lineRule="auto"/>
              <w:ind w:left="0" w:right="0"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1.2</w:t>
            </w:r>
            <w:r>
              <w:rPr>
                <w:rFonts w:hint="eastAsia" w:ascii="宋体" w:hAnsi="宋体" w:eastAsia="宋体" w:cs="宋体"/>
                <w:b w:val="0"/>
                <w:bCs/>
                <w:color w:val="auto"/>
                <w:sz w:val="24"/>
                <w:szCs w:val="24"/>
              </w:rPr>
              <w:t>每</w:t>
            </w:r>
            <w:r>
              <w:rPr>
                <w:rFonts w:hint="eastAsia" w:ascii="宋体" w:hAnsi="宋体" w:eastAsia="宋体" w:cs="宋体"/>
                <w:b w:val="0"/>
                <w:bCs/>
                <w:color w:val="auto"/>
                <w:sz w:val="24"/>
                <w:szCs w:val="24"/>
                <w:lang w:val="en-US" w:eastAsia="zh-CN"/>
              </w:rPr>
              <w:t>周</w:t>
            </w:r>
            <w:r>
              <w:rPr>
                <w:rFonts w:hint="eastAsia" w:ascii="宋体" w:hAnsi="宋体" w:eastAsia="宋体" w:cs="宋体"/>
                <w:b w:val="0"/>
                <w:bCs/>
                <w:color w:val="auto"/>
                <w:sz w:val="24"/>
                <w:szCs w:val="24"/>
              </w:rPr>
              <w:t>工作</w:t>
            </w:r>
          </w:p>
          <w:p w14:paraId="6DA84AB6">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雨季（5-10月）</w:t>
            </w:r>
            <w:r>
              <w:rPr>
                <w:rFonts w:hint="eastAsia" w:ascii="宋体" w:hAnsi="宋体" w:eastAsia="宋体" w:cs="宋体"/>
                <w:color w:val="auto"/>
                <w:sz w:val="24"/>
                <w:szCs w:val="24"/>
              </w:rPr>
              <w:t>至少每</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进行1次在线设备pH和EC校准</w:t>
            </w:r>
            <w:r>
              <w:rPr>
                <w:rFonts w:hint="eastAsia" w:ascii="宋体" w:hAnsi="宋体" w:eastAsia="宋体" w:cs="宋体"/>
                <w:color w:val="auto"/>
                <w:sz w:val="24"/>
                <w:szCs w:val="24"/>
                <w:lang w:eastAsia="zh-CN"/>
              </w:rPr>
              <w:t>维护，</w:t>
            </w:r>
            <w:r>
              <w:rPr>
                <w:rFonts w:hint="eastAsia" w:ascii="宋体" w:hAnsi="宋体" w:eastAsia="宋体" w:cs="宋体"/>
                <w:color w:val="auto"/>
                <w:sz w:val="24"/>
                <w:szCs w:val="24"/>
                <w:lang w:val="en-US" w:eastAsia="zh-CN"/>
              </w:rPr>
              <w:t>非雨季（11-4月）</w:t>
            </w:r>
            <w:r>
              <w:rPr>
                <w:rFonts w:hint="eastAsia" w:ascii="宋体" w:hAnsi="宋体" w:eastAsia="宋体" w:cs="宋体"/>
                <w:color w:val="auto"/>
                <w:sz w:val="24"/>
                <w:szCs w:val="24"/>
              </w:rPr>
              <w:t>至少每</w:t>
            </w:r>
            <w:r>
              <w:rPr>
                <w:rFonts w:hint="eastAsia" w:ascii="宋体" w:hAnsi="宋体" w:eastAsia="宋体" w:cs="宋体"/>
                <w:color w:val="auto"/>
                <w:sz w:val="24"/>
                <w:szCs w:val="24"/>
                <w:lang w:val="en-US" w:eastAsia="zh-CN"/>
              </w:rPr>
              <w:t>两周</w:t>
            </w:r>
            <w:r>
              <w:rPr>
                <w:rFonts w:hint="eastAsia" w:ascii="宋体" w:hAnsi="宋体" w:eastAsia="宋体" w:cs="宋体"/>
                <w:color w:val="auto"/>
                <w:sz w:val="24"/>
                <w:szCs w:val="24"/>
              </w:rPr>
              <w:t>进行1次在线设备pH和EC校准</w:t>
            </w:r>
            <w:r>
              <w:rPr>
                <w:rFonts w:hint="eastAsia" w:ascii="宋体" w:hAnsi="宋体" w:eastAsia="宋体" w:cs="宋体"/>
                <w:color w:val="auto"/>
                <w:sz w:val="24"/>
                <w:szCs w:val="24"/>
                <w:lang w:eastAsia="zh-CN"/>
              </w:rPr>
              <w:t>维护</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每次</w:t>
            </w:r>
            <w:r>
              <w:rPr>
                <w:rFonts w:hint="eastAsia" w:ascii="宋体" w:hAnsi="宋体" w:eastAsia="宋体" w:cs="宋体"/>
                <w:color w:val="auto"/>
                <w:sz w:val="24"/>
                <w:szCs w:val="24"/>
              </w:rPr>
              <w:t>仪器校准</w:t>
            </w:r>
            <w:r>
              <w:rPr>
                <w:rFonts w:hint="eastAsia" w:ascii="宋体" w:hAnsi="宋体" w:eastAsia="宋体" w:cs="宋体"/>
                <w:color w:val="auto"/>
                <w:sz w:val="24"/>
                <w:szCs w:val="24"/>
                <w:lang w:val="en-US" w:eastAsia="zh-CN"/>
              </w:rPr>
              <w:t>需严格按要求进行多点</w:t>
            </w:r>
            <w:r>
              <w:rPr>
                <w:rFonts w:hint="eastAsia" w:ascii="宋体" w:hAnsi="宋体" w:eastAsia="宋体" w:cs="宋体"/>
                <w:color w:val="auto"/>
                <w:sz w:val="24"/>
                <w:szCs w:val="24"/>
              </w:rPr>
              <w:t>校准</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数据</w:t>
            </w:r>
            <w:r>
              <w:rPr>
                <w:rFonts w:hint="eastAsia" w:ascii="宋体" w:hAnsi="宋体" w:eastAsia="宋体" w:cs="宋体"/>
                <w:color w:val="auto"/>
                <w:sz w:val="24"/>
                <w:szCs w:val="24"/>
                <w:lang w:val="en-US" w:eastAsia="zh-CN"/>
              </w:rPr>
              <w:t>必需符合</w:t>
            </w:r>
            <w:r>
              <w:rPr>
                <w:rFonts w:hint="eastAsia" w:ascii="宋体" w:hAnsi="宋体" w:eastAsia="宋体" w:cs="宋体"/>
                <w:color w:val="auto"/>
                <w:sz w:val="24"/>
                <w:szCs w:val="24"/>
              </w:rPr>
              <w:t>理论值允许的范围（pH±0.1，EC±2%F.S），并做已知浓度值的</w:t>
            </w:r>
            <w:r>
              <w:rPr>
                <w:rFonts w:hint="eastAsia" w:ascii="宋体" w:hAnsi="宋体" w:eastAsia="宋体" w:cs="宋体"/>
                <w:color w:val="auto"/>
                <w:sz w:val="24"/>
                <w:szCs w:val="24"/>
                <w:lang w:val="en-US" w:eastAsia="zh-CN"/>
              </w:rPr>
              <w:t>有证</w:t>
            </w:r>
            <w:r>
              <w:rPr>
                <w:rFonts w:hint="eastAsia" w:ascii="宋体" w:hAnsi="宋体" w:eastAsia="宋体" w:cs="宋体"/>
                <w:color w:val="auto"/>
                <w:sz w:val="24"/>
                <w:szCs w:val="24"/>
              </w:rPr>
              <w:t>标准样品单点测量，如在范围则校准合格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如仪器监测结果超出范围，则</w:t>
            </w:r>
            <w:r>
              <w:rPr>
                <w:rFonts w:hint="eastAsia" w:ascii="宋体" w:hAnsi="宋体" w:eastAsia="宋体" w:cs="宋体"/>
                <w:color w:val="auto"/>
                <w:sz w:val="24"/>
                <w:szCs w:val="24"/>
                <w:lang w:eastAsia="zh-CN"/>
              </w:rPr>
              <w:t>重新</w:t>
            </w:r>
            <w:r>
              <w:rPr>
                <w:rFonts w:hint="eastAsia" w:ascii="宋体" w:hAnsi="宋体" w:eastAsia="宋体" w:cs="宋体"/>
                <w:color w:val="auto"/>
                <w:sz w:val="24"/>
                <w:szCs w:val="24"/>
              </w:rPr>
              <w:t>校准设备，再次测</w:t>
            </w:r>
            <w:r>
              <w:rPr>
                <w:rFonts w:hint="eastAsia" w:ascii="宋体" w:hAnsi="宋体" w:eastAsia="宋体" w:cs="宋体"/>
                <w:color w:val="auto"/>
                <w:sz w:val="24"/>
                <w:szCs w:val="24"/>
                <w:lang w:val="en-US" w:eastAsia="zh-CN"/>
              </w:rPr>
              <w:t>试</w:t>
            </w:r>
            <w:r>
              <w:rPr>
                <w:rFonts w:hint="eastAsia" w:ascii="宋体" w:hAnsi="宋体" w:eastAsia="宋体" w:cs="宋体"/>
                <w:color w:val="auto"/>
                <w:sz w:val="24"/>
                <w:szCs w:val="24"/>
              </w:rPr>
              <w:t>有证标准样品，直到合格为止。</w:t>
            </w:r>
          </w:p>
          <w:p w14:paraId="4E7C5553">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每次校准记录需及时上传到广西壮族自治区酸雨监测质量控制系统，并</w:t>
            </w:r>
            <w:r>
              <w:rPr>
                <w:rFonts w:hint="eastAsia" w:ascii="宋体" w:hAnsi="宋体" w:eastAsia="宋体" w:cs="宋体"/>
                <w:color w:val="auto"/>
                <w:sz w:val="24"/>
                <w:szCs w:val="24"/>
              </w:rPr>
              <w:t>将</w:t>
            </w:r>
            <w:r>
              <w:rPr>
                <w:rFonts w:hint="eastAsia" w:ascii="宋体" w:hAnsi="宋体" w:eastAsia="宋体" w:cs="宋体"/>
                <w:color w:val="auto"/>
                <w:sz w:val="24"/>
                <w:szCs w:val="24"/>
                <w:lang w:val="en-US" w:eastAsia="zh-CN"/>
              </w:rPr>
              <w:t>维护</w:t>
            </w:r>
            <w:r>
              <w:rPr>
                <w:rFonts w:hint="eastAsia" w:ascii="宋体" w:hAnsi="宋体" w:eastAsia="宋体" w:cs="宋体"/>
                <w:color w:val="auto"/>
                <w:sz w:val="24"/>
                <w:szCs w:val="24"/>
              </w:rPr>
              <w:t>校准现场照片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维护保养记录及</w:t>
            </w:r>
            <w:r>
              <w:rPr>
                <w:rFonts w:hint="eastAsia" w:ascii="宋体" w:hAnsi="宋体" w:eastAsia="宋体" w:cs="宋体"/>
                <w:color w:val="auto"/>
                <w:sz w:val="24"/>
                <w:szCs w:val="24"/>
              </w:rPr>
              <w:t>校准记录</w:t>
            </w:r>
            <w:r>
              <w:rPr>
                <w:rFonts w:hint="eastAsia" w:ascii="宋体" w:hAnsi="宋体" w:eastAsia="宋体" w:cs="宋体"/>
                <w:color w:val="auto"/>
                <w:sz w:val="24"/>
                <w:szCs w:val="24"/>
                <w:lang w:val="en-US" w:eastAsia="zh-CN"/>
              </w:rPr>
              <w:t>质版</w:t>
            </w:r>
            <w:r>
              <w:rPr>
                <w:rFonts w:hint="eastAsia" w:ascii="宋体" w:hAnsi="宋体" w:eastAsia="宋体" w:cs="宋体"/>
                <w:color w:val="auto"/>
                <w:sz w:val="24"/>
                <w:szCs w:val="24"/>
              </w:rPr>
              <w:t>表格</w:t>
            </w:r>
            <w:r>
              <w:rPr>
                <w:rFonts w:hint="eastAsia" w:ascii="宋体" w:hAnsi="宋体" w:eastAsia="宋体" w:cs="宋体"/>
                <w:color w:val="auto"/>
                <w:sz w:val="24"/>
                <w:szCs w:val="24"/>
                <w:lang w:val="en-US" w:eastAsia="zh-CN"/>
              </w:rPr>
              <w:t>交给</w:t>
            </w:r>
            <w:r>
              <w:rPr>
                <w:rFonts w:hint="eastAsia" w:ascii="宋体" w:hAnsi="宋体" w:eastAsia="宋体" w:cs="宋体"/>
                <w:color w:val="auto"/>
                <w:sz w:val="24"/>
                <w:szCs w:val="24"/>
                <w:lang w:eastAsia="zh-CN"/>
              </w:rPr>
              <w:t>北海监测中心</w:t>
            </w:r>
            <w:r>
              <w:rPr>
                <w:rFonts w:hint="eastAsia" w:ascii="宋体" w:hAnsi="宋体" w:eastAsia="宋体" w:cs="宋体"/>
                <w:color w:val="auto"/>
                <w:sz w:val="24"/>
                <w:szCs w:val="24"/>
              </w:rPr>
              <w:t>备案。</w:t>
            </w:r>
          </w:p>
          <w:p w14:paraId="2C17AC2C">
            <w:pPr>
              <w:spacing w:before="0" w:beforeAutospacing="0" w:after="0" w:afterAutospacing="0" w:line="360" w:lineRule="auto"/>
              <w:ind w:left="0" w:right="0"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1.3</w:t>
            </w:r>
            <w:r>
              <w:rPr>
                <w:rFonts w:hint="eastAsia" w:ascii="宋体" w:hAnsi="宋体" w:eastAsia="宋体" w:cs="宋体"/>
                <w:b w:val="0"/>
                <w:bCs/>
                <w:color w:val="auto"/>
                <w:sz w:val="24"/>
                <w:szCs w:val="24"/>
              </w:rPr>
              <w:t>每月工作</w:t>
            </w:r>
          </w:p>
          <w:p w14:paraId="4797987E">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每个月至少采集一次样品空白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做法：取两个样品瓶装入去离子水，与降水样品进行同步处理（放入冰箱或加</w:t>
            </w:r>
            <w:r>
              <w:rPr>
                <w:rFonts w:hint="eastAsia" w:ascii="宋体" w:hAnsi="宋体" w:eastAsia="宋体" w:cs="宋体"/>
                <w:color w:val="auto"/>
                <w:sz w:val="24"/>
                <w:szCs w:val="24"/>
                <w:lang w:val="en-US" w:eastAsia="zh-CN"/>
              </w:rPr>
              <w:t>固</w:t>
            </w:r>
            <w:r>
              <w:rPr>
                <w:rFonts w:hint="eastAsia" w:ascii="宋体" w:hAnsi="宋体" w:eastAsia="宋体" w:cs="宋体"/>
                <w:color w:val="auto"/>
                <w:sz w:val="24"/>
                <w:szCs w:val="24"/>
              </w:rPr>
              <w:t>定剂、同步运输等），并在交接记录表中记录采集信息。样品空白</w:t>
            </w:r>
            <w:r>
              <w:rPr>
                <w:rFonts w:hint="eastAsia" w:ascii="宋体" w:hAnsi="宋体" w:eastAsia="宋体" w:cs="宋体"/>
                <w:color w:val="auto"/>
                <w:sz w:val="24"/>
                <w:szCs w:val="24"/>
                <w:lang w:eastAsia="zh-CN"/>
              </w:rPr>
              <w:t>由北海监测中心对其进行</w:t>
            </w:r>
            <w:r>
              <w:rPr>
                <w:rFonts w:hint="eastAsia" w:ascii="宋体" w:hAnsi="宋体" w:eastAsia="宋体" w:cs="宋体"/>
                <w:color w:val="auto"/>
                <w:sz w:val="24"/>
                <w:szCs w:val="24"/>
              </w:rPr>
              <w:t>离子组分分析，分析结果应与分析去离子水相同。否则，</w:t>
            </w:r>
            <w:r>
              <w:rPr>
                <w:rFonts w:hint="eastAsia" w:ascii="宋体" w:hAnsi="宋体" w:eastAsia="宋体" w:cs="宋体"/>
                <w:color w:val="auto"/>
                <w:sz w:val="24"/>
                <w:szCs w:val="24"/>
                <w:lang w:val="en-US" w:eastAsia="zh-CN"/>
              </w:rPr>
              <w:t>运维人员</w:t>
            </w:r>
            <w:r>
              <w:rPr>
                <w:rFonts w:hint="eastAsia" w:ascii="宋体" w:hAnsi="宋体" w:eastAsia="宋体" w:cs="宋体"/>
                <w:color w:val="auto"/>
                <w:sz w:val="24"/>
                <w:szCs w:val="24"/>
              </w:rPr>
              <w:t>应检查去离子水是否合格、样品瓶的清洗是否达到要求、样品瓶盖是否严密等。</w:t>
            </w:r>
          </w:p>
          <w:p w14:paraId="20E17AA8">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北海监测中心</w:t>
            </w:r>
            <w:r>
              <w:rPr>
                <w:rFonts w:hint="eastAsia" w:ascii="宋体" w:hAnsi="宋体" w:eastAsia="宋体" w:cs="宋体"/>
                <w:color w:val="auto"/>
                <w:sz w:val="24"/>
                <w:szCs w:val="24"/>
              </w:rPr>
              <w:t>的计划完成实验室与在线设备pH值</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EC值</w:t>
            </w:r>
            <w:r>
              <w:rPr>
                <w:rFonts w:hint="eastAsia" w:ascii="宋体" w:hAnsi="宋体" w:eastAsia="宋体" w:cs="宋体"/>
                <w:color w:val="auto"/>
                <w:sz w:val="24"/>
                <w:szCs w:val="24"/>
                <w:lang w:val="en-US" w:eastAsia="zh-CN"/>
              </w:rPr>
              <w:t>的现场</w:t>
            </w:r>
            <w:r>
              <w:rPr>
                <w:rFonts w:hint="eastAsia" w:ascii="宋体" w:hAnsi="宋体" w:eastAsia="宋体" w:cs="宋体"/>
                <w:color w:val="auto"/>
                <w:sz w:val="24"/>
                <w:szCs w:val="24"/>
              </w:rPr>
              <w:t>比对，</w:t>
            </w:r>
            <w:r>
              <w:rPr>
                <w:rFonts w:hint="eastAsia" w:ascii="宋体" w:hAnsi="宋体" w:eastAsia="宋体" w:cs="宋体"/>
                <w:color w:val="auto"/>
                <w:sz w:val="24"/>
                <w:szCs w:val="24"/>
                <w:lang w:eastAsia="zh-CN"/>
              </w:rPr>
              <w:t>其中</w:t>
            </w:r>
            <w:r>
              <w:rPr>
                <w:rFonts w:hint="eastAsia" w:ascii="宋体" w:hAnsi="宋体" w:eastAsia="宋体" w:cs="宋体"/>
                <w:color w:val="auto"/>
                <w:sz w:val="24"/>
                <w:szCs w:val="24"/>
              </w:rPr>
              <w:t>pH值偏差</w:t>
            </w:r>
            <w:r>
              <w:rPr>
                <w:rFonts w:hint="eastAsia" w:ascii="宋体" w:hAnsi="宋体" w:eastAsia="宋体" w:cs="宋体"/>
                <w:color w:val="auto"/>
                <w:sz w:val="24"/>
                <w:szCs w:val="24"/>
                <w:lang w:eastAsia="zh-CN"/>
              </w:rPr>
              <w:t>范围为</w:t>
            </w:r>
            <w:r>
              <w:rPr>
                <w:rFonts w:hint="eastAsia" w:ascii="宋体" w:hAnsi="宋体" w:eastAsia="宋体" w:cs="宋体"/>
                <w:color w:val="auto"/>
                <w:sz w:val="24"/>
                <w:szCs w:val="24"/>
              </w:rPr>
              <w:t>±0.3个pH单位</w:t>
            </w:r>
            <w:r>
              <w:rPr>
                <w:rFonts w:hint="eastAsia" w:ascii="宋体" w:hAnsi="宋体" w:eastAsia="宋体" w:cs="宋体"/>
                <w:color w:val="auto"/>
                <w:sz w:val="24"/>
                <w:szCs w:val="24"/>
                <w:lang w:eastAsia="zh-CN"/>
              </w:rPr>
              <w:t>，比对结果</w:t>
            </w:r>
            <w:r>
              <w:rPr>
                <w:rFonts w:hint="eastAsia" w:ascii="宋体" w:hAnsi="宋体" w:eastAsia="宋体" w:cs="宋体"/>
                <w:color w:val="auto"/>
                <w:sz w:val="24"/>
                <w:szCs w:val="24"/>
                <w:lang w:val="en-US" w:eastAsia="zh-CN"/>
              </w:rPr>
              <w:t>不合格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运维人员需当天到现场排查原因，做好</w:t>
            </w:r>
            <w:r>
              <w:rPr>
                <w:rFonts w:hint="eastAsia" w:ascii="宋体" w:hAnsi="宋体" w:eastAsia="宋体" w:cs="宋体"/>
                <w:color w:val="auto"/>
                <w:sz w:val="24"/>
                <w:szCs w:val="24"/>
              </w:rPr>
              <w:t>仪器调试</w:t>
            </w:r>
            <w:r>
              <w:rPr>
                <w:rFonts w:hint="eastAsia" w:ascii="宋体" w:hAnsi="宋体" w:eastAsia="宋体" w:cs="宋体"/>
                <w:color w:val="auto"/>
                <w:sz w:val="24"/>
                <w:szCs w:val="24"/>
                <w:lang w:eastAsia="zh-CN"/>
              </w:rPr>
              <w:t>校准和有证标准样品测试，</w:t>
            </w:r>
            <w:r>
              <w:rPr>
                <w:rFonts w:hint="eastAsia" w:ascii="宋体" w:hAnsi="宋体" w:eastAsia="宋体" w:cs="宋体"/>
                <w:color w:val="auto"/>
                <w:sz w:val="24"/>
                <w:szCs w:val="24"/>
              </w:rPr>
              <w:t>直到</w:t>
            </w:r>
            <w:r>
              <w:rPr>
                <w:rFonts w:hint="eastAsia" w:ascii="宋体" w:hAnsi="宋体" w:eastAsia="宋体" w:cs="宋体"/>
                <w:color w:val="auto"/>
                <w:sz w:val="24"/>
                <w:szCs w:val="24"/>
                <w:lang w:eastAsia="zh-CN"/>
              </w:rPr>
              <w:t>有证标准样品测试</w:t>
            </w:r>
            <w:r>
              <w:rPr>
                <w:rFonts w:hint="eastAsia" w:ascii="宋体" w:hAnsi="宋体" w:eastAsia="宋体" w:cs="宋体"/>
                <w:color w:val="auto"/>
                <w:sz w:val="24"/>
                <w:szCs w:val="24"/>
              </w:rPr>
              <w:t>合格为止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受不可抗力影响无法当天到现场的，需及时向</w:t>
            </w:r>
            <w:r>
              <w:rPr>
                <w:rFonts w:hint="eastAsia" w:ascii="宋体" w:hAnsi="宋体" w:eastAsia="宋体" w:cs="宋体"/>
                <w:color w:val="auto"/>
                <w:sz w:val="24"/>
                <w:szCs w:val="24"/>
                <w:lang w:eastAsia="zh-CN"/>
              </w:rPr>
              <w:t>北海监测中心</w:t>
            </w:r>
            <w:r>
              <w:rPr>
                <w:rFonts w:hint="eastAsia" w:ascii="宋体" w:hAnsi="宋体" w:eastAsia="宋体" w:cs="宋体"/>
                <w:color w:val="auto"/>
                <w:sz w:val="24"/>
                <w:szCs w:val="24"/>
                <w:lang w:val="en-US" w:eastAsia="zh-CN"/>
              </w:rPr>
              <w:t>报告，可根据实际情况适当延迟处理</w:t>
            </w:r>
            <w:r>
              <w:rPr>
                <w:rFonts w:hint="eastAsia" w:ascii="宋体" w:hAnsi="宋体" w:eastAsia="宋体" w:cs="宋体"/>
                <w:color w:val="auto"/>
                <w:sz w:val="24"/>
                <w:szCs w:val="24"/>
              </w:rPr>
              <w:t>。</w:t>
            </w:r>
          </w:p>
          <w:p w14:paraId="10F4AB83">
            <w:pPr>
              <w:spacing w:before="0" w:beforeAutospacing="0" w:after="0" w:afterAutospacing="0" w:line="360" w:lineRule="auto"/>
              <w:ind w:left="0" w:right="0" w:firstLine="480" w:firstLineChars="200"/>
              <w:jc w:val="both"/>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1.4</w:t>
            </w:r>
            <w:r>
              <w:rPr>
                <w:rFonts w:hint="eastAsia" w:ascii="宋体" w:hAnsi="宋体" w:eastAsia="宋体" w:cs="宋体"/>
                <w:b w:val="0"/>
                <w:bCs/>
                <w:color w:val="auto"/>
                <w:sz w:val="24"/>
                <w:szCs w:val="24"/>
              </w:rPr>
              <w:t>每季度工作</w:t>
            </w:r>
          </w:p>
          <w:p w14:paraId="151A1131">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每季度至少清洗一次仪器的集雨桶和雨量桶。</w:t>
            </w:r>
          </w:p>
          <w:p w14:paraId="0E7A3F49">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清洗干净后采集一个全程序空白样品。做法：实验室的去离子水从集雨器进入样品瓶，然后从采样到样品过滤等操作的全程序空白试验。全程序空白样品</w:t>
            </w:r>
            <w:r>
              <w:rPr>
                <w:rFonts w:hint="eastAsia" w:ascii="宋体" w:hAnsi="宋体" w:eastAsia="宋体" w:cs="宋体"/>
                <w:color w:val="auto"/>
                <w:sz w:val="24"/>
                <w:szCs w:val="24"/>
                <w:lang w:eastAsia="zh-CN"/>
              </w:rPr>
              <w:t>由北海监测中心进行</w:t>
            </w:r>
            <w:r>
              <w:rPr>
                <w:rFonts w:hint="eastAsia" w:ascii="宋体" w:hAnsi="宋体" w:eastAsia="宋体" w:cs="宋体"/>
                <w:color w:val="auto"/>
                <w:sz w:val="24"/>
                <w:szCs w:val="24"/>
              </w:rPr>
              <w:t>分析，如监测结果不合格，</w:t>
            </w:r>
            <w:r>
              <w:rPr>
                <w:rFonts w:hint="eastAsia" w:ascii="宋体" w:hAnsi="宋体" w:eastAsia="宋体" w:cs="宋体"/>
                <w:color w:val="auto"/>
                <w:sz w:val="24"/>
                <w:szCs w:val="24"/>
                <w:lang w:val="en-US" w:eastAsia="zh-CN"/>
              </w:rPr>
              <w:t>运维人员</w:t>
            </w:r>
            <w:r>
              <w:rPr>
                <w:rFonts w:hint="eastAsia" w:ascii="宋体" w:hAnsi="宋体" w:eastAsia="宋体" w:cs="宋体"/>
                <w:color w:val="auto"/>
                <w:sz w:val="24"/>
                <w:szCs w:val="24"/>
                <w:lang w:eastAsia="zh-CN"/>
              </w:rPr>
              <w:t>重新</w:t>
            </w:r>
            <w:r>
              <w:rPr>
                <w:rFonts w:hint="eastAsia" w:ascii="宋体" w:hAnsi="宋体" w:eastAsia="宋体" w:cs="宋体"/>
                <w:color w:val="auto"/>
                <w:sz w:val="24"/>
                <w:szCs w:val="24"/>
              </w:rPr>
              <w:t>清洗集雨桶及雨量桶，并再次分析全程序空白样品。</w:t>
            </w:r>
          </w:p>
          <w:p w14:paraId="0C6AB980">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填写样品交接记录，注明质控措施内容。</w:t>
            </w:r>
          </w:p>
          <w:p w14:paraId="0DF0A8E2">
            <w:pPr>
              <w:spacing w:before="0" w:beforeAutospacing="0" w:after="0" w:afterAutospacing="0" w:line="360" w:lineRule="auto"/>
              <w:ind w:left="0" w:right="0" w:firstLine="480" w:firstLineChars="2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仪器维护保养维修工作</w:t>
            </w:r>
          </w:p>
          <w:p w14:paraId="0E1B8BD7">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做好自动监测仪器的日常运行维护保养、仪器故障维修、周边</w:t>
            </w:r>
            <w:r>
              <w:rPr>
                <w:rFonts w:hint="eastAsia" w:ascii="宋体" w:hAnsi="宋体" w:eastAsia="宋体" w:cs="宋体"/>
                <w:color w:val="auto"/>
                <w:sz w:val="24"/>
                <w:szCs w:val="24"/>
                <w:lang w:eastAsia="zh-CN"/>
              </w:rPr>
              <w:t>环境卫生等</w:t>
            </w:r>
            <w:r>
              <w:rPr>
                <w:rFonts w:hint="eastAsia" w:ascii="宋体" w:hAnsi="宋体" w:eastAsia="宋体" w:cs="宋体"/>
                <w:color w:val="auto"/>
                <w:sz w:val="24"/>
                <w:szCs w:val="24"/>
                <w:lang w:val="en-US" w:eastAsia="zh-CN"/>
              </w:rPr>
              <w:t>工作</w:t>
            </w:r>
            <w:r>
              <w:rPr>
                <w:rFonts w:hint="eastAsia" w:ascii="宋体" w:hAnsi="宋体" w:eastAsia="宋体" w:cs="宋体"/>
                <w:color w:val="auto"/>
                <w:sz w:val="24"/>
                <w:szCs w:val="24"/>
                <w:lang w:eastAsia="zh-CN"/>
              </w:rPr>
              <w:t>，内容包括但不限于系统诊断、故障排除、</w:t>
            </w:r>
            <w:r>
              <w:rPr>
                <w:rFonts w:hint="eastAsia" w:ascii="宋体" w:hAnsi="宋体" w:eastAsia="宋体" w:cs="宋体"/>
                <w:color w:val="auto"/>
                <w:sz w:val="24"/>
                <w:szCs w:val="24"/>
                <w:lang w:val="en-US" w:eastAsia="zh-CN"/>
              </w:rPr>
              <w:t>更换配件耗材、标定pH及电导率、</w:t>
            </w:r>
            <w:r>
              <w:rPr>
                <w:rFonts w:hint="eastAsia" w:ascii="宋体" w:hAnsi="宋体" w:eastAsia="宋体" w:cs="宋体"/>
                <w:color w:val="auto"/>
                <w:sz w:val="24"/>
                <w:szCs w:val="24"/>
                <w:lang w:eastAsia="zh-CN"/>
              </w:rPr>
              <w:t>添加</w:t>
            </w:r>
            <w:r>
              <w:rPr>
                <w:rFonts w:hint="eastAsia" w:ascii="宋体" w:hAnsi="宋体" w:eastAsia="宋体" w:cs="宋体"/>
                <w:color w:val="auto"/>
                <w:sz w:val="24"/>
                <w:szCs w:val="24"/>
                <w:lang w:val="en-US" w:eastAsia="zh-CN"/>
              </w:rPr>
              <w:t>保护液、添加清洗液、清洗管路、数据传输、24小时电话咨询服务等，提供中标产品所需</w:t>
            </w:r>
            <w:r>
              <w:rPr>
                <w:rFonts w:hint="eastAsia" w:ascii="宋体" w:hAnsi="宋体" w:eastAsia="宋体" w:cs="宋体"/>
                <w:color w:val="auto"/>
                <w:sz w:val="24"/>
                <w:szCs w:val="24"/>
                <w:lang w:eastAsia="zh-CN"/>
              </w:rPr>
              <w:t>原厂</w:t>
            </w:r>
            <w:r>
              <w:rPr>
                <w:rFonts w:hint="eastAsia" w:ascii="宋体" w:hAnsi="宋体" w:eastAsia="宋体" w:cs="宋体"/>
                <w:color w:val="auto"/>
                <w:sz w:val="24"/>
                <w:szCs w:val="24"/>
                <w:lang w:val="en-US" w:eastAsia="zh-CN"/>
              </w:rPr>
              <w:t>同品牌同型号且</w:t>
            </w:r>
            <w:r>
              <w:rPr>
                <w:rFonts w:hint="eastAsia" w:ascii="宋体" w:hAnsi="宋体" w:eastAsia="宋体" w:cs="宋体"/>
                <w:color w:val="auto"/>
                <w:sz w:val="24"/>
                <w:szCs w:val="24"/>
                <w:lang w:eastAsia="zh-CN"/>
              </w:rPr>
              <w:t>同品质耗材、配件，</w:t>
            </w:r>
            <w:r>
              <w:rPr>
                <w:rFonts w:hint="eastAsia" w:ascii="宋体" w:hAnsi="宋体" w:eastAsia="宋体" w:cs="宋体"/>
                <w:color w:val="auto"/>
                <w:sz w:val="24"/>
                <w:szCs w:val="24"/>
                <w:lang w:val="en-US" w:eastAsia="zh-CN"/>
              </w:rPr>
              <w:t>对系统进行必要的升级，</w:t>
            </w:r>
            <w:r>
              <w:rPr>
                <w:rFonts w:hint="eastAsia" w:ascii="宋体" w:hAnsi="宋体" w:eastAsia="宋体" w:cs="宋体"/>
                <w:color w:val="auto"/>
                <w:sz w:val="24"/>
                <w:szCs w:val="24"/>
                <w:lang w:eastAsia="zh-CN"/>
              </w:rPr>
              <w:t>确保</w:t>
            </w:r>
            <w:r>
              <w:rPr>
                <w:rFonts w:hint="eastAsia" w:ascii="宋体" w:hAnsi="宋体" w:eastAsia="宋体" w:cs="宋体"/>
                <w:color w:val="auto"/>
                <w:sz w:val="24"/>
                <w:szCs w:val="24"/>
              </w:rPr>
              <w:t>仪器</w:t>
            </w:r>
            <w:r>
              <w:rPr>
                <w:rFonts w:hint="eastAsia" w:ascii="宋体" w:hAnsi="宋体" w:eastAsia="宋体" w:cs="宋体"/>
                <w:color w:val="auto"/>
                <w:sz w:val="24"/>
                <w:szCs w:val="24"/>
                <w:lang w:eastAsia="zh-CN"/>
              </w:rPr>
              <w:t>正常稳定</w:t>
            </w:r>
            <w:r>
              <w:rPr>
                <w:rFonts w:hint="eastAsia" w:ascii="宋体" w:hAnsi="宋体" w:eastAsia="宋体" w:cs="宋体"/>
                <w:color w:val="auto"/>
                <w:sz w:val="24"/>
                <w:szCs w:val="24"/>
                <w:lang w:val="en-US" w:eastAsia="zh-CN"/>
              </w:rPr>
              <w:t>长效</w:t>
            </w:r>
            <w:r>
              <w:rPr>
                <w:rFonts w:hint="eastAsia" w:ascii="宋体" w:hAnsi="宋体" w:eastAsia="宋体" w:cs="宋体"/>
                <w:color w:val="auto"/>
                <w:sz w:val="24"/>
                <w:szCs w:val="24"/>
                <w:lang w:eastAsia="zh-CN"/>
              </w:rPr>
              <w:t>运行，监测数据真、准、全。</w:t>
            </w:r>
          </w:p>
          <w:p w14:paraId="657F482E">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监测管理要求</w:t>
            </w:r>
          </w:p>
          <w:p w14:paraId="6F0D60E7">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逢雨必采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当日</w:t>
            </w:r>
            <w:r>
              <w:rPr>
                <w:rFonts w:hint="eastAsia" w:ascii="宋体" w:hAnsi="宋体" w:eastAsia="宋体" w:cs="宋体"/>
                <w:color w:val="auto"/>
                <w:sz w:val="24"/>
                <w:szCs w:val="24"/>
              </w:rPr>
              <w:t>上午9:00至次日上午9:00的降</w:t>
            </w:r>
            <w:r>
              <w:rPr>
                <w:rFonts w:hint="eastAsia" w:ascii="宋体" w:hAnsi="宋体" w:eastAsia="宋体" w:cs="宋体"/>
                <w:color w:val="auto"/>
                <w:sz w:val="24"/>
                <w:szCs w:val="24"/>
                <w:lang w:val="en-US" w:eastAsia="zh-CN"/>
              </w:rPr>
              <w:t>水</w:t>
            </w:r>
            <w:r>
              <w:rPr>
                <w:rFonts w:hint="eastAsia" w:ascii="宋体" w:hAnsi="宋体" w:eastAsia="宋体" w:cs="宋体"/>
                <w:color w:val="auto"/>
                <w:sz w:val="24"/>
                <w:szCs w:val="24"/>
              </w:rPr>
              <w:t>视为一个样品，须在次日15时前送到实验室。</w:t>
            </w:r>
          </w:p>
          <w:p w14:paraId="15E0492C">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样品与采样送样记录同时交接，采样送样记录</w:t>
            </w:r>
            <w:r>
              <w:rPr>
                <w:rFonts w:hint="eastAsia" w:ascii="宋体" w:hAnsi="宋体" w:eastAsia="宋体" w:cs="宋体"/>
                <w:color w:val="auto"/>
                <w:sz w:val="24"/>
                <w:szCs w:val="24"/>
                <w:lang w:val="en-US" w:eastAsia="zh-CN"/>
              </w:rPr>
              <w:t>一式两份，北海监测中心和运维方各保存一份</w:t>
            </w:r>
            <w:r>
              <w:rPr>
                <w:rFonts w:hint="eastAsia" w:ascii="宋体" w:hAnsi="宋体" w:eastAsia="宋体" w:cs="宋体"/>
                <w:color w:val="auto"/>
                <w:sz w:val="24"/>
                <w:szCs w:val="24"/>
              </w:rPr>
              <w:t>。</w:t>
            </w:r>
          </w:p>
          <w:p w14:paraId="38B267A0">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采样人员需给接样人员出示手机拍摄的证明照片，证明样品采集的位置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样品的性状。照片水印信息包括：点位经纬度、点位所在地名称、时间信息。照片内容包括：样品量、样品与仪器的合影、仪器与其周边环境。</w:t>
            </w:r>
          </w:p>
          <w:p w14:paraId="08A506D0">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因不可抗拒原因造成的样品采集延迟，该次样品仍需送样，并在送样记录单备注延迟原因。</w:t>
            </w:r>
          </w:p>
          <w:p w14:paraId="71BDEF8B">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平台有降雨量，不管多少必须到现场。样品不足50ml时，需核实在线数据是否有pH值、电导率、降雨量数据，</w:t>
            </w:r>
            <w:r>
              <w:rPr>
                <w:rFonts w:hint="eastAsia" w:ascii="宋体" w:hAnsi="宋体" w:eastAsia="宋体" w:cs="宋体"/>
                <w:color w:val="auto"/>
                <w:sz w:val="24"/>
                <w:szCs w:val="24"/>
                <w:lang w:val="en-US" w:eastAsia="zh-CN"/>
              </w:rPr>
              <w:t>如数据缺失或无效，且降雨量能满足pH、电导率分析的，需采集样品进行手工补测；</w:t>
            </w:r>
            <w:r>
              <w:rPr>
                <w:rFonts w:hint="eastAsia" w:ascii="宋体" w:hAnsi="宋体" w:eastAsia="宋体" w:cs="宋体"/>
                <w:color w:val="auto"/>
                <w:sz w:val="24"/>
                <w:szCs w:val="24"/>
              </w:rPr>
              <w:t>如数据有效，当次可不送样，仍需拍照给</w:t>
            </w:r>
            <w:r>
              <w:rPr>
                <w:rFonts w:hint="eastAsia" w:ascii="宋体" w:hAnsi="宋体" w:eastAsia="宋体" w:cs="宋体"/>
                <w:color w:val="auto"/>
                <w:sz w:val="24"/>
                <w:szCs w:val="24"/>
                <w:lang w:val="en-US" w:eastAsia="zh-CN"/>
              </w:rPr>
              <w:t>北海监测中心</w:t>
            </w:r>
            <w:r>
              <w:rPr>
                <w:rFonts w:hint="eastAsia" w:ascii="宋体" w:hAnsi="宋体" w:eastAsia="宋体" w:cs="宋体"/>
                <w:color w:val="auto"/>
                <w:sz w:val="24"/>
                <w:szCs w:val="24"/>
              </w:rPr>
              <w:t>备查。</w:t>
            </w:r>
          </w:p>
          <w:p w14:paraId="166417D5">
            <w:pPr>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因停电造成仪器无法采集样品，若该点位有备用手工采样器采集的样品，该样品是否由</w:t>
            </w:r>
            <w:r>
              <w:rPr>
                <w:rFonts w:hint="eastAsia" w:ascii="宋体" w:hAnsi="宋体" w:eastAsia="宋体" w:cs="宋体"/>
                <w:color w:val="auto"/>
                <w:sz w:val="24"/>
                <w:szCs w:val="24"/>
                <w:lang w:val="en-US" w:eastAsia="zh-CN"/>
              </w:rPr>
              <w:t>运维人员</w:t>
            </w:r>
            <w:r>
              <w:rPr>
                <w:rFonts w:hint="eastAsia" w:ascii="宋体" w:hAnsi="宋体" w:eastAsia="宋体" w:cs="宋体"/>
                <w:color w:val="auto"/>
                <w:sz w:val="24"/>
                <w:szCs w:val="24"/>
                <w:lang w:val="en-US"/>
              </w:rPr>
              <w:t>采集送样，由</w:t>
            </w:r>
            <w:r>
              <w:rPr>
                <w:rFonts w:hint="eastAsia" w:ascii="宋体" w:hAnsi="宋体" w:eastAsia="宋体" w:cs="宋体"/>
                <w:color w:val="auto"/>
                <w:sz w:val="24"/>
                <w:szCs w:val="24"/>
                <w:lang w:val="en-US" w:eastAsia="zh-CN"/>
              </w:rPr>
              <w:t>北海监测中心</w:t>
            </w:r>
            <w:r>
              <w:rPr>
                <w:rFonts w:hint="eastAsia" w:ascii="宋体" w:hAnsi="宋体" w:eastAsia="宋体" w:cs="宋体"/>
                <w:color w:val="auto"/>
                <w:sz w:val="24"/>
                <w:szCs w:val="24"/>
                <w:lang w:val="en-US"/>
              </w:rPr>
              <w:t>确定，</w:t>
            </w:r>
            <w:r>
              <w:rPr>
                <w:rFonts w:hint="eastAsia" w:ascii="宋体" w:hAnsi="宋体" w:eastAsia="宋体" w:cs="宋体"/>
                <w:color w:val="auto"/>
                <w:sz w:val="24"/>
                <w:szCs w:val="24"/>
                <w:lang w:val="en-US" w:eastAsia="zh-CN"/>
              </w:rPr>
              <w:t>运维人员</w:t>
            </w:r>
            <w:r>
              <w:rPr>
                <w:rFonts w:hint="eastAsia" w:ascii="宋体" w:hAnsi="宋体" w:eastAsia="宋体" w:cs="宋体"/>
                <w:color w:val="auto"/>
                <w:sz w:val="24"/>
                <w:szCs w:val="24"/>
                <w:lang w:val="en-US"/>
              </w:rPr>
              <w:t>需备注样品性状为“手工采样样品”。</w:t>
            </w:r>
          </w:p>
          <w:p w14:paraId="6DE352F3">
            <w:pPr>
              <w:overflowPunct w:val="0"/>
              <w:adjustRightInd/>
              <w:snapToGrid/>
              <w:spacing w:before="0" w:beforeAutospacing="0" w:after="0" w:afterAutospacing="0" w:line="530" w:lineRule="exact"/>
              <w:ind w:left="0" w:right="0"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工作要求</w:t>
            </w:r>
          </w:p>
          <w:p w14:paraId="753400A8">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（一）总体要求</w:t>
            </w:r>
          </w:p>
          <w:p w14:paraId="5014AA20">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配合</w:t>
            </w:r>
            <w:r>
              <w:rPr>
                <w:rFonts w:hint="eastAsia" w:ascii="宋体" w:hAnsi="宋体" w:eastAsia="宋体" w:cs="宋体"/>
                <w:color w:val="auto"/>
                <w:sz w:val="24"/>
                <w:szCs w:val="24"/>
                <w:lang w:eastAsia="zh-CN"/>
              </w:rPr>
              <w:t>采购方工作，</w:t>
            </w:r>
            <w:r>
              <w:rPr>
                <w:rFonts w:hint="eastAsia" w:ascii="宋体" w:hAnsi="宋体" w:eastAsia="宋体" w:cs="宋体"/>
                <w:color w:val="auto"/>
                <w:sz w:val="24"/>
                <w:szCs w:val="24"/>
                <w:lang w:val="en-US" w:eastAsia="zh-CN"/>
              </w:rPr>
              <w:t>服从</w:t>
            </w:r>
            <w:r>
              <w:rPr>
                <w:rFonts w:hint="eastAsia" w:ascii="宋体" w:hAnsi="宋体" w:eastAsia="宋体" w:cs="宋体"/>
                <w:color w:val="auto"/>
                <w:sz w:val="24"/>
                <w:szCs w:val="24"/>
                <w:lang w:eastAsia="zh-CN"/>
              </w:rPr>
              <w:t>采购方</w:t>
            </w:r>
            <w:r>
              <w:rPr>
                <w:rFonts w:hint="eastAsia" w:ascii="宋体" w:hAnsi="宋体" w:eastAsia="宋体" w:cs="宋体"/>
                <w:color w:val="auto"/>
                <w:sz w:val="24"/>
                <w:szCs w:val="24"/>
                <w:lang w:val="en-US" w:eastAsia="zh-CN"/>
              </w:rPr>
              <w:t>监管与考核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对新中标运维方进行环境空气和大气降水自动监测全流程运维业务培训，</w:t>
            </w:r>
            <w:r>
              <w:rPr>
                <w:rFonts w:hint="eastAsia" w:ascii="宋体" w:hAnsi="宋体" w:eastAsia="宋体" w:cs="宋体"/>
                <w:b w:val="0"/>
                <w:bCs w:val="0"/>
                <w:color w:val="auto"/>
                <w:sz w:val="24"/>
                <w:szCs w:val="24"/>
                <w:lang w:val="en-US" w:eastAsia="zh-CN"/>
              </w:rPr>
              <w:t>平稳完成运维</w:t>
            </w:r>
            <w:r>
              <w:rPr>
                <w:rFonts w:hint="eastAsia" w:ascii="宋体" w:hAnsi="宋体" w:eastAsia="宋体" w:cs="宋体"/>
                <w:color w:val="auto"/>
                <w:sz w:val="24"/>
                <w:szCs w:val="24"/>
              </w:rPr>
              <w:t>交接</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lang w:val="en-US" w:eastAsia="zh-CN"/>
              </w:rPr>
              <w:t>按照相关技术规范开展运维工作</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确保自动监测数据真、准、全，</w:t>
            </w:r>
            <w:r>
              <w:rPr>
                <w:rFonts w:hint="eastAsia" w:ascii="宋体" w:hAnsi="宋体" w:eastAsia="宋体" w:cs="宋体"/>
                <w:b w:val="0"/>
                <w:bCs w:val="0"/>
                <w:color w:val="auto"/>
                <w:sz w:val="24"/>
                <w:szCs w:val="24"/>
                <w:lang w:val="en-US" w:eastAsia="zh-CN"/>
              </w:rPr>
              <w:t>对达不到运行维护要求或违规操作的，采购人可根据实际情况延长运维服务或扣减相应运维费，并有权追究相应法律责任。</w:t>
            </w:r>
          </w:p>
          <w:p w14:paraId="762F85BC">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（二）运维方要求</w:t>
            </w:r>
          </w:p>
          <w:p w14:paraId="1D6D1609">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1.具有</w:t>
            </w:r>
            <w:r>
              <w:rPr>
                <w:rFonts w:hint="eastAsia" w:ascii="宋体" w:hAnsi="宋体" w:eastAsia="宋体" w:cs="宋体"/>
                <w:color w:val="auto"/>
                <w:sz w:val="24"/>
                <w:szCs w:val="24"/>
                <w:lang w:val="en-US" w:eastAsia="zh-CN"/>
              </w:rPr>
              <w:t>环境空气和大气降水</w:t>
            </w:r>
            <w:r>
              <w:rPr>
                <w:rFonts w:hint="eastAsia" w:ascii="宋体" w:hAnsi="宋体" w:eastAsia="宋体" w:cs="宋体"/>
                <w:b w:val="0"/>
                <w:bCs w:val="0"/>
                <w:color w:val="auto"/>
                <w:sz w:val="24"/>
                <w:szCs w:val="24"/>
                <w:lang w:val="en-US" w:eastAsia="zh-CN"/>
              </w:rPr>
              <w:t>自动监测成熟运维案例。</w:t>
            </w:r>
          </w:p>
          <w:p w14:paraId="7D9ABF45">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2.具备完善的备机配备、设备配件和耗材供应渠道，严禁使用未经有</w:t>
            </w:r>
            <w:r>
              <w:rPr>
                <w:rFonts w:hint="eastAsia" w:ascii="宋体" w:hAnsi="宋体" w:eastAsia="宋体" w:cs="宋体"/>
                <w:color w:val="auto"/>
                <w:sz w:val="24"/>
                <w:szCs w:val="24"/>
                <w:highlight w:val="none"/>
              </w:rPr>
              <w:t>资质的第三方机构检定合格或劣质备品备件和耗材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清洁对照点和非甲烷总烃</w:t>
            </w:r>
            <w:r>
              <w:rPr>
                <w:rFonts w:hint="eastAsia" w:ascii="宋体" w:hAnsi="宋体" w:eastAsia="宋体" w:cs="宋体"/>
                <w:b w:val="0"/>
                <w:bCs w:val="0"/>
                <w:color w:val="auto"/>
                <w:sz w:val="24"/>
                <w:szCs w:val="24"/>
                <w:lang w:val="en-US" w:eastAsia="zh-CN"/>
              </w:rPr>
              <w:t>优先使用原厂同品牌同型号同品质耗材、配件，大气降水自动仪器所需的耗材、配件必须为原厂同品牌同型号同品质耗材、配件（不包括瑞士DIGITE自动仪pH电极）</w:t>
            </w:r>
            <w:r>
              <w:rPr>
                <w:rFonts w:hint="eastAsia" w:ascii="宋体" w:hAnsi="宋体" w:eastAsia="宋体" w:cs="宋体"/>
                <w:color w:val="auto"/>
                <w:sz w:val="24"/>
                <w:szCs w:val="24"/>
                <w:highlight w:val="none"/>
              </w:rPr>
              <w:t>。</w:t>
            </w:r>
          </w:p>
          <w:p w14:paraId="609712BD">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3.具备</w:t>
            </w:r>
            <w:r>
              <w:rPr>
                <w:rFonts w:hint="eastAsia" w:ascii="宋体" w:hAnsi="宋体" w:eastAsia="宋体" w:cs="宋体"/>
                <w:color w:val="auto"/>
                <w:sz w:val="24"/>
                <w:szCs w:val="24"/>
                <w:lang w:val="en-US" w:eastAsia="zh-CN"/>
              </w:rPr>
              <w:t>环境空气和大气降水</w:t>
            </w:r>
            <w:r>
              <w:rPr>
                <w:rFonts w:hint="eastAsia" w:ascii="宋体" w:hAnsi="宋体" w:eastAsia="宋体" w:cs="宋体"/>
                <w:b w:val="0"/>
                <w:bCs w:val="0"/>
                <w:color w:val="auto"/>
                <w:sz w:val="24"/>
                <w:szCs w:val="24"/>
                <w:lang w:val="en-US" w:eastAsia="zh-CN"/>
              </w:rPr>
              <w:t>自动监测系统运维及管理的人才、技术、后勤保障等，能够熟练操作</w:t>
            </w:r>
            <w:r>
              <w:rPr>
                <w:rFonts w:hint="eastAsia" w:ascii="宋体" w:hAnsi="宋体" w:eastAsia="宋体" w:cs="宋体"/>
                <w:color w:val="auto"/>
                <w:sz w:val="24"/>
                <w:szCs w:val="24"/>
                <w:lang w:val="en-US" w:eastAsia="zh-CN"/>
              </w:rPr>
              <w:t>相应</w:t>
            </w:r>
            <w:r>
              <w:rPr>
                <w:rFonts w:hint="eastAsia" w:ascii="宋体" w:hAnsi="宋体" w:eastAsia="宋体" w:cs="宋体"/>
                <w:b w:val="0"/>
                <w:bCs w:val="0"/>
                <w:color w:val="auto"/>
                <w:sz w:val="24"/>
                <w:szCs w:val="24"/>
                <w:lang w:val="en-US" w:eastAsia="zh-CN"/>
              </w:rPr>
              <w:t>自动监测系统以及解决各类故障和异常情况。</w:t>
            </w:r>
          </w:p>
          <w:p w14:paraId="39FC7599">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在运维期间，运维方应严格按照有关规范和规章制度，对所运维管理的自动监测站点仪器设备进行规范操作、精心维护和必要维修，保证系统及仪器设备的正常稳定有效运行，达到国家环境监测总站、广西壮族自治区生态环境监测中心及北海中心提出的考核指标要求。运维服务方须接受广西壮族自治区生态环境监测中心和北海中心定期或不定期检查与考核。</w:t>
            </w:r>
          </w:p>
          <w:p w14:paraId="609450BE">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5、运维方须承担监测数据的保密责任，没经北海中心同意，不得利用本项目的数据、档案或有关资料以任何方式和渠道对外开展技术交流、业务联系、数据交换等。</w:t>
            </w:r>
          </w:p>
          <w:p w14:paraId="01712839">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6、运维期间,委托运维管理的全部资产（包括设备、软件、配套设施、相关自动监测信息及文档资料）属北海中心所有。运维方不得以任何方式对各类财产进行出售、抵押或转移。</w:t>
            </w:r>
          </w:p>
          <w:p w14:paraId="6EF7377F">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7、在运维过程中由于人为原因造成业主方损失的，由运维方负责赔偿。</w:t>
            </w:r>
          </w:p>
          <w:p w14:paraId="56A66F4C">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8、在运维过程中须严格执行安全生产有关规定，没执行安全生产规定发生的安全事故运维方负全部责任。</w:t>
            </w:r>
          </w:p>
          <w:p w14:paraId="15096AC2">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9、运维方在运维管理期间必须保证仪器设备客观、真实地反映环境空气质量状况，严禁出现擅自调整改动采样管路连接方式、更改仪器参数设置、遮盖雨量计等一切弄虚作假行为。</w:t>
            </w:r>
          </w:p>
          <w:p w14:paraId="5D41E410">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10、运维方在以往的环境监测服务活动中被政府相关部门行政处罚、通报、记不良记录或记过或存在弄虚作假等不良行为记录的公司，不得参加本项目的询价。</w:t>
            </w:r>
          </w:p>
          <w:p w14:paraId="2E991500">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（三）人员要求</w:t>
            </w:r>
          </w:p>
          <w:p w14:paraId="0E742CED">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运维人员至少配备两名，要求常驻在北海市，需具有较强的责任心、较好的团队协作精神、独立运行维护的能力和吃苦耐劳的毅力，具备相应运维经验至少1年且项目运维效果良好。运维期间，原运维人员离职后，新补充的运维人员也要具备相同资质。</w:t>
            </w:r>
          </w:p>
          <w:p w14:paraId="5AA8CD6D">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（四）故障处理要求</w:t>
            </w:r>
          </w:p>
          <w:p w14:paraId="7A5502C5">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运维期、质量保证期内发生技术服务问题，需立即响应，大气站要求依据相关规范在规定时限内解决问题；大气降水站降水期要求4小时内到达甲方现场，36小时内解决出现的问题，非降水期要求72小时内解决出现的问题，因不可抗力因素等特殊情况影响不能按规定时限完成的，及时汇报，征得对方同意，可以适当延长处理时限。牛尾岭水库大气降水自动监测仪要更换原厂核心部件（不包括pH电极）无法1周内完成的，需及时汇报，征得对方同意，可以适当延长更换时间。</w:t>
            </w:r>
          </w:p>
          <w:p w14:paraId="0B5F81D3">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lang w:eastAsia="zh-CN"/>
              </w:rPr>
              <w:t>）其他</w:t>
            </w:r>
            <w:r>
              <w:rPr>
                <w:rFonts w:hint="eastAsia" w:ascii="宋体" w:hAnsi="宋体" w:eastAsia="宋体" w:cs="宋体"/>
                <w:b/>
                <w:bCs/>
                <w:color w:val="auto"/>
                <w:sz w:val="24"/>
                <w:szCs w:val="24"/>
              </w:rPr>
              <w:t>要求</w:t>
            </w:r>
          </w:p>
          <w:p w14:paraId="7A165E39">
            <w:pPr>
              <w:autoSpaceDE/>
              <w:autoSpaceDN/>
              <w:adjustRightInd/>
              <w:snapToGrid/>
              <w:spacing w:before="0" w:beforeAutospacing="0" w:after="0" w:afterAutospacing="0" w:line="560" w:lineRule="exact"/>
              <w:ind w:left="0" w:righ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有效运维期内，环境空气和大气降水</w:t>
            </w:r>
            <w:r>
              <w:rPr>
                <w:rFonts w:hint="eastAsia" w:ascii="宋体" w:hAnsi="宋体" w:eastAsia="宋体" w:cs="宋体"/>
                <w:color w:val="auto"/>
                <w:sz w:val="24"/>
                <w:szCs w:val="24"/>
                <w:lang w:val="en-US"/>
              </w:rPr>
              <w:t>自动监测</w:t>
            </w:r>
            <w:r>
              <w:rPr>
                <w:rFonts w:hint="eastAsia" w:ascii="宋体" w:hAnsi="宋体" w:eastAsia="宋体" w:cs="宋体"/>
                <w:color w:val="auto"/>
                <w:sz w:val="24"/>
                <w:szCs w:val="24"/>
                <w:lang w:val="en-US" w:eastAsia="zh-CN"/>
              </w:rPr>
              <w:t>运行管理如出台新的文件要求，则按照最新要求执行。</w:t>
            </w:r>
          </w:p>
          <w:p w14:paraId="5B00CD5C">
            <w:pPr>
              <w:overflowPunct w:val="0"/>
              <w:spacing w:before="0" w:beforeAutospacing="0" w:after="0" w:afterAutospacing="0" w:line="530" w:lineRule="exact"/>
              <w:ind w:left="0" w:right="0" w:firstLine="562" w:firstLineChars="200"/>
              <w:jc w:val="both"/>
              <w:rPr>
                <w:rFonts w:hint="eastAsia" w:ascii="宋体" w:hAnsi="宋体" w:eastAsia="宋体" w:cs="宋体"/>
                <w:b/>
                <w:bCs/>
                <w:color w:val="auto"/>
                <w:kern w:val="0"/>
                <w:sz w:val="28"/>
                <w:szCs w:val="28"/>
                <w:lang w:val="en-US" w:eastAsia="zh-CN" w:bidi="zh-CN"/>
              </w:rPr>
            </w:pPr>
            <w:r>
              <w:rPr>
                <w:rFonts w:hint="eastAsia" w:ascii="宋体" w:hAnsi="宋体" w:eastAsia="宋体" w:cs="宋体"/>
                <w:b/>
                <w:bCs/>
                <w:color w:val="auto"/>
                <w:kern w:val="0"/>
                <w:sz w:val="28"/>
                <w:szCs w:val="28"/>
                <w:lang w:val="en-US" w:eastAsia="zh-CN" w:bidi="zh-CN"/>
              </w:rPr>
              <w:t>四、考核要求</w:t>
            </w:r>
          </w:p>
          <w:p w14:paraId="39AAF1E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color w:val="auto"/>
                <w:kern w:val="0"/>
                <w:sz w:val="24"/>
                <w:szCs w:val="24"/>
                <w:lang w:val="en-US" w:eastAsia="zh-CN" w:bidi="zh-CN"/>
              </w:rPr>
            </w:pPr>
            <w:r>
              <w:rPr>
                <w:rFonts w:hint="eastAsia" w:ascii="宋体" w:hAnsi="宋体" w:eastAsia="宋体" w:cs="宋体"/>
                <w:b/>
                <w:bCs/>
                <w:color w:val="auto"/>
                <w:kern w:val="0"/>
                <w:sz w:val="24"/>
                <w:szCs w:val="24"/>
                <w:lang w:val="en-US" w:eastAsia="zh-CN" w:bidi="zh-CN"/>
              </w:rPr>
              <w:t>（一）考核办法</w:t>
            </w:r>
          </w:p>
          <w:p w14:paraId="40FAD76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每季度对成交单位绩效考核一次。运维机构所提供的运维服务质量要达到中国环境监测总站、自治区生态环境监测中心和北海中心运维质控要求。</w:t>
            </w:r>
          </w:p>
          <w:p w14:paraId="7A2A853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区控市级环境空气站考核采取百分制、单站考核、单站核算运维费的方式，主要包括单个站点数据有效性、每季度单站直连国家实时数据和审核数据的入库率、日常运行维护的内容、档案管理、后勤保障等，具体详见</w:t>
            </w:r>
            <w:bookmarkStart w:id="0" w:name="OLE_LINK3"/>
            <w:bookmarkStart w:id="1" w:name="OLE_LINK2"/>
            <w:r>
              <w:rPr>
                <w:rFonts w:hint="eastAsia" w:ascii="宋体" w:hAnsi="宋体" w:eastAsia="宋体" w:cs="宋体"/>
                <w:b w:val="0"/>
                <w:bCs w:val="0"/>
                <w:color w:val="auto"/>
                <w:kern w:val="0"/>
                <w:sz w:val="24"/>
                <w:szCs w:val="24"/>
                <w:lang w:val="en-US" w:eastAsia="zh-CN" w:bidi="zh-CN"/>
              </w:rPr>
              <w:t>附表1</w:t>
            </w:r>
            <w:bookmarkEnd w:id="0"/>
            <w:bookmarkEnd w:id="1"/>
            <w:r>
              <w:rPr>
                <w:rFonts w:hint="eastAsia" w:ascii="宋体" w:hAnsi="宋体" w:eastAsia="宋体" w:cs="宋体"/>
                <w:b w:val="0"/>
                <w:bCs w:val="0"/>
                <w:color w:val="auto"/>
                <w:kern w:val="0"/>
                <w:sz w:val="24"/>
                <w:szCs w:val="24"/>
                <w:lang w:val="en-US" w:eastAsia="zh-CN" w:bidi="zh-CN"/>
              </w:rPr>
              <w:t>《环境空气自动监测质量现场检查季度评分表（清洁对照点）》</w:t>
            </w:r>
            <w:r>
              <w:rPr>
                <w:rFonts w:hint="eastAsia" w:cs="宋体"/>
                <w:b w:val="0"/>
                <w:bCs w:val="0"/>
                <w:color w:val="auto"/>
                <w:kern w:val="0"/>
                <w:sz w:val="24"/>
                <w:szCs w:val="24"/>
                <w:lang w:val="en-US" w:eastAsia="zh-CN" w:bidi="zh-CN"/>
              </w:rPr>
              <w:t>、</w:t>
            </w:r>
            <w:r>
              <w:rPr>
                <w:rFonts w:hint="eastAsia" w:ascii="宋体" w:hAnsi="宋体" w:eastAsia="宋体" w:cs="宋体"/>
                <w:b w:val="0"/>
                <w:bCs w:val="0"/>
                <w:color w:val="auto"/>
                <w:kern w:val="0"/>
                <w:sz w:val="24"/>
                <w:szCs w:val="24"/>
                <w:lang w:val="en-US" w:eastAsia="zh-CN" w:bidi="zh-CN"/>
              </w:rPr>
              <w:t>附表</w:t>
            </w:r>
            <w:r>
              <w:rPr>
                <w:rFonts w:hint="eastAsia" w:cs="宋体"/>
                <w:b w:val="0"/>
                <w:bCs w:val="0"/>
                <w:color w:val="auto"/>
                <w:kern w:val="0"/>
                <w:sz w:val="24"/>
                <w:szCs w:val="24"/>
                <w:lang w:val="en-US" w:eastAsia="zh-CN" w:bidi="zh-CN"/>
              </w:rPr>
              <w:t>2</w:t>
            </w:r>
            <w:r>
              <w:rPr>
                <w:rFonts w:hint="eastAsia" w:ascii="宋体" w:hAnsi="宋体" w:eastAsia="宋体" w:cs="宋体"/>
                <w:b w:val="0"/>
                <w:bCs w:val="0"/>
                <w:color w:val="auto"/>
                <w:kern w:val="0"/>
                <w:sz w:val="24"/>
                <w:szCs w:val="24"/>
                <w:lang w:val="en-US" w:eastAsia="zh-CN" w:bidi="zh-CN"/>
              </w:rPr>
              <w:t>《区控环境空气自动监测质量现场检查季度评分表（非甲烷总烃）》。</w:t>
            </w:r>
          </w:p>
          <w:p w14:paraId="3688DC23">
            <w:pPr>
              <w:autoSpaceDE/>
              <w:autoSpaceDN/>
              <w:spacing w:before="0" w:beforeAutospacing="0" w:after="0" w:afterAutospacing="0" w:line="560" w:lineRule="exact"/>
              <w:ind w:left="0" w:right="0"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lang w:val="en-US" w:eastAsia="zh-CN" w:bidi="zh-CN"/>
              </w:rPr>
              <w:t>大气降水站考核采取百分制考核的方式，主要包括站点的日常运行维护、质量控制、网络通讯保障、样品采样送样、故障处理等，具体详见附表</w:t>
            </w:r>
            <w:r>
              <w:rPr>
                <w:rFonts w:hint="eastAsia" w:cs="宋体"/>
                <w:b w:val="0"/>
                <w:bCs w:val="0"/>
                <w:color w:val="auto"/>
                <w:kern w:val="0"/>
                <w:sz w:val="24"/>
                <w:szCs w:val="24"/>
                <w:lang w:val="en-US" w:eastAsia="zh-CN" w:bidi="zh-CN"/>
              </w:rPr>
              <w:t>3</w:t>
            </w:r>
            <w:r>
              <w:rPr>
                <w:rFonts w:hint="eastAsia" w:ascii="宋体" w:hAnsi="宋体" w:eastAsia="宋体" w:cs="宋体"/>
                <w:b w:val="0"/>
                <w:bCs w:val="0"/>
                <w:color w:val="auto"/>
                <w:kern w:val="0"/>
                <w:sz w:val="24"/>
                <w:szCs w:val="24"/>
                <w:lang w:val="en-US" w:eastAsia="zh-CN" w:bidi="zh-CN"/>
              </w:rPr>
              <w:t>《广西壮族自治区北海生态环境监测中心大气降水自动监测站设备运行维护季度考核评分表》。</w:t>
            </w:r>
          </w:p>
          <w:p w14:paraId="2C6650D6">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color w:val="auto"/>
                <w:kern w:val="0"/>
                <w:sz w:val="24"/>
                <w:szCs w:val="24"/>
                <w:lang w:val="en-US" w:eastAsia="zh-CN" w:bidi="zh-CN"/>
              </w:rPr>
            </w:pPr>
            <w:r>
              <w:rPr>
                <w:rFonts w:hint="eastAsia" w:ascii="宋体" w:hAnsi="宋体" w:eastAsia="宋体" w:cs="宋体"/>
                <w:b/>
                <w:bCs/>
                <w:color w:val="auto"/>
                <w:kern w:val="0"/>
                <w:sz w:val="24"/>
                <w:szCs w:val="24"/>
                <w:lang w:val="en-US" w:eastAsia="zh-CN" w:bidi="zh-CN"/>
              </w:rPr>
              <w:t>（二）运维费核算方法</w:t>
            </w:r>
          </w:p>
          <w:p w14:paraId="78B47629">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清洁对照点、非甲烷总烃站、4个大气降水站为三个考核对象，分别考核，分别核算，每个考核对象当季度考核总分低于或等于80分的，扣减合同总款的5%；80-90分（不含90分）的，扣减合同总款的2%；高于或等于90分的，不予扣减。</w:t>
            </w:r>
          </w:p>
          <w:p w14:paraId="16A0CD6C">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宋体" w:hAnsi="宋体" w:eastAsia="宋体" w:cs="宋体"/>
                <w:b/>
                <w:bCs/>
                <w:color w:val="auto"/>
                <w:kern w:val="0"/>
                <w:sz w:val="24"/>
                <w:szCs w:val="24"/>
                <w:lang w:val="en-US" w:eastAsia="zh-CN" w:bidi="zh-CN"/>
              </w:rPr>
            </w:pPr>
            <w:r>
              <w:rPr>
                <w:rFonts w:hint="eastAsia" w:ascii="宋体" w:hAnsi="宋体" w:eastAsia="宋体" w:cs="宋体"/>
                <w:b/>
                <w:bCs/>
                <w:color w:val="auto"/>
                <w:kern w:val="0"/>
                <w:sz w:val="24"/>
                <w:szCs w:val="24"/>
                <w:lang w:val="en-US" w:eastAsia="zh-CN" w:bidi="zh-CN"/>
              </w:rPr>
              <w:t>（三）其他规定</w:t>
            </w:r>
          </w:p>
          <w:p w14:paraId="3A809E65">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运维单位有下列情形之一的，采购人将扣减合同总款的1%：迟报、漏报或不报审核数据的；拖延、阻碍、拒绝质量检查或飞行检查的；发现采样、分析、数据采集和传输等过程人为干扰，未按要求及时向采购人报告的；因工作疏漏，未发现采样、分析、数据采集和传输等过程人为干扰的；其他不履行规定职责的情形。</w:t>
            </w:r>
          </w:p>
          <w:p w14:paraId="3F4F5E5D">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宋体" w:hAnsi="宋体" w:eastAsia="宋体" w:cs="宋体"/>
                <w:b w:val="0"/>
                <w:bCs w:val="0"/>
                <w:color w:val="auto"/>
                <w:kern w:val="0"/>
                <w:sz w:val="24"/>
                <w:szCs w:val="24"/>
                <w:lang w:val="en-US" w:eastAsia="zh-CN" w:bidi="zh-CN"/>
              </w:rPr>
            </w:pPr>
            <w:r>
              <w:rPr>
                <w:rFonts w:hint="eastAsia" w:ascii="宋体" w:hAnsi="宋体" w:eastAsia="宋体" w:cs="宋体"/>
                <w:b w:val="0"/>
                <w:bCs w:val="0"/>
                <w:color w:val="auto"/>
                <w:kern w:val="0"/>
                <w:sz w:val="24"/>
                <w:szCs w:val="24"/>
                <w:lang w:val="en-US" w:eastAsia="zh-CN" w:bidi="zh-CN"/>
              </w:rPr>
              <w:t>在质量检查中，发现运维单位未达到中国环境监测总站、自治区生态环境监测中心和北海中心运维质控要求时，根据对数据质量造成的影响程度，采购人将扣减合同总款的1%；如未及时整改，加两倍扣款。</w:t>
            </w:r>
          </w:p>
          <w:p w14:paraId="48BD7F8B">
            <w:pPr>
              <w:adjustRightInd w:val="0"/>
              <w:snapToGrid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p>
          <w:p w14:paraId="25171842">
            <w:pPr>
              <w:pStyle w:val="2"/>
              <w:spacing w:before="0" w:beforeAutospacing="0" w:after="0" w:afterAutospacing="0"/>
              <w:ind w:left="0" w:right="0"/>
              <w:jc w:val="both"/>
              <w:rPr>
                <w:rFonts w:hint="eastAsia" w:ascii="宋体" w:hAnsi="宋体" w:eastAsia="宋体" w:cs="宋体"/>
                <w:color w:val="auto"/>
                <w:sz w:val="24"/>
                <w:szCs w:val="24"/>
                <w:highlight w:val="none"/>
                <w:lang w:val="en-US" w:eastAsia="zh-CN"/>
              </w:rPr>
            </w:pPr>
          </w:p>
          <w:p w14:paraId="43921724">
            <w:pPr>
              <w:adjustRightInd w:val="0"/>
              <w:snapToGrid w:val="0"/>
              <w:spacing w:before="0" w:beforeAutospacing="0" w:after="0" w:afterAutospacing="0"/>
              <w:ind w:left="0" w:right="0" w:firstLine="480" w:firstLineChars="200"/>
              <w:jc w:val="left"/>
              <w:rPr>
                <w:rFonts w:hint="eastAsia" w:ascii="宋体" w:hAnsi="宋体" w:eastAsia="宋体" w:cs="宋体"/>
                <w:color w:val="auto"/>
                <w:sz w:val="24"/>
                <w:szCs w:val="24"/>
                <w:highlight w:val="none"/>
                <w:vertAlign w:val="baseline"/>
              </w:rPr>
            </w:pPr>
          </w:p>
        </w:tc>
      </w:tr>
      <w:tr w14:paraId="29EE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12" w:type="dxa"/>
            <w:gridSpan w:val="5"/>
            <w:vAlign w:val="center"/>
          </w:tcPr>
          <w:p w14:paraId="06D65413">
            <w:pPr>
              <w:pStyle w:val="4"/>
              <w:spacing w:before="0" w:beforeAutospacing="0" w:after="0" w:afterAutospacing="0"/>
              <w:ind w:left="0" w:right="0"/>
              <w:jc w:val="center"/>
              <w:rPr>
                <w:rFonts w:hint="default" w:ascii="宋体" w:hAnsi="宋体" w:eastAsia="宋体" w:cs="宋体"/>
                <w:color w:val="auto"/>
                <w:sz w:val="21"/>
                <w:szCs w:val="21"/>
                <w:highlight w:val="none"/>
                <w:vertAlign w:val="baseline"/>
                <w:lang w:val="en-US"/>
              </w:rPr>
            </w:pPr>
            <w:r>
              <w:rPr>
                <w:rFonts w:hint="eastAsia" w:ascii="宋体" w:hAnsi="宋体" w:eastAsia="宋体" w:cs="宋体"/>
                <w:b/>
                <w:bCs/>
                <w:color w:val="auto"/>
                <w:sz w:val="21"/>
                <w:szCs w:val="21"/>
                <w:highlight w:val="none"/>
              </w:rPr>
              <w:t>商务</w:t>
            </w:r>
            <w:r>
              <w:rPr>
                <w:rFonts w:hint="eastAsia" w:cs="宋体"/>
                <w:b/>
                <w:bCs/>
                <w:color w:val="auto"/>
                <w:sz w:val="21"/>
                <w:szCs w:val="21"/>
                <w:highlight w:val="none"/>
                <w:lang w:val="en-US" w:eastAsia="zh-CN"/>
              </w:rPr>
              <w:t>部分</w:t>
            </w:r>
          </w:p>
        </w:tc>
      </w:tr>
      <w:tr w14:paraId="6F2D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996" w:type="dxa"/>
            <w:gridSpan w:val="4"/>
            <w:vAlign w:val="center"/>
          </w:tcPr>
          <w:p w14:paraId="23CA0209">
            <w:pPr>
              <w:pStyle w:val="4"/>
              <w:spacing w:before="0" w:beforeAutospacing="0" w:after="0" w:afterAutospacing="0"/>
              <w:ind w:left="0" w:right="0" w:firstLine="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1.运维服务时间</w:t>
            </w:r>
          </w:p>
        </w:tc>
        <w:tc>
          <w:tcPr>
            <w:tcW w:w="6816" w:type="dxa"/>
            <w:vAlign w:val="center"/>
          </w:tcPr>
          <w:p w14:paraId="5BAFE780">
            <w:pPr>
              <w:pStyle w:val="4"/>
              <w:spacing w:before="0" w:beforeAutospacing="0" w:after="0" w:afterAutospacing="0"/>
              <w:ind w:left="0" w:right="0" w:firstLine="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2025年6月1日至2026年5月31日</w:t>
            </w:r>
          </w:p>
        </w:tc>
      </w:tr>
      <w:tr w14:paraId="2A09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996" w:type="dxa"/>
            <w:gridSpan w:val="4"/>
            <w:vAlign w:val="center"/>
          </w:tcPr>
          <w:p w14:paraId="4F6F3ACB">
            <w:pPr>
              <w:pStyle w:val="4"/>
              <w:spacing w:before="0" w:beforeAutospacing="0" w:after="0" w:afterAutospacing="0"/>
              <w:ind w:left="0" w:right="0" w:firstLine="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报价要求</w:t>
            </w:r>
          </w:p>
        </w:tc>
        <w:tc>
          <w:tcPr>
            <w:tcW w:w="6816" w:type="dxa"/>
            <w:vAlign w:val="center"/>
          </w:tcPr>
          <w:p w14:paraId="6E111B22">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本项目实行总承包报价，报价为采购人指定服务范围内的全部价格，至少包括：</w:t>
            </w:r>
          </w:p>
          <w:p w14:paraId="1DC6F5D9">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服务的价格（包括</w:t>
            </w:r>
            <w:r>
              <w:rPr>
                <w:rFonts w:hint="eastAsia" w:ascii="宋体" w:hAnsi="宋体" w:eastAsia="宋体" w:cs="宋体"/>
                <w:color w:val="auto"/>
                <w:sz w:val="21"/>
                <w:szCs w:val="21"/>
                <w:highlight w:val="none"/>
                <w:lang w:val="en-US" w:eastAsia="zh-CN"/>
              </w:rPr>
              <w:t>网络费、耗材费、仪器维修</w:t>
            </w:r>
            <w:r>
              <w:rPr>
                <w:rFonts w:hint="eastAsia" w:ascii="宋体" w:hAnsi="宋体" w:eastAsia="宋体" w:cs="宋体"/>
                <w:color w:val="auto"/>
                <w:sz w:val="21"/>
                <w:szCs w:val="21"/>
                <w:highlight w:val="none"/>
                <w:lang w:val="en-US"/>
              </w:rPr>
              <w:t>费、</w:t>
            </w:r>
            <w:r>
              <w:rPr>
                <w:rFonts w:hint="eastAsia" w:ascii="宋体" w:hAnsi="宋体" w:eastAsia="宋体" w:cs="宋体"/>
                <w:color w:val="auto"/>
                <w:sz w:val="21"/>
                <w:szCs w:val="21"/>
                <w:highlight w:val="none"/>
                <w:lang w:val="en-US" w:eastAsia="zh-CN"/>
              </w:rPr>
              <w:t>维护保养费、材料费、样品采集存储运输费、运维</w:t>
            </w:r>
            <w:r>
              <w:rPr>
                <w:rFonts w:hint="eastAsia" w:ascii="宋体" w:hAnsi="宋体" w:eastAsia="宋体" w:cs="宋体"/>
                <w:color w:val="auto"/>
                <w:sz w:val="21"/>
                <w:szCs w:val="21"/>
                <w:highlight w:val="none"/>
                <w:lang w:val="en-US"/>
              </w:rPr>
              <w:t>人员差旅费</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val="en-US"/>
              </w:rPr>
              <w:t>劳务费等）</w:t>
            </w:r>
            <w:r>
              <w:rPr>
                <w:rFonts w:hint="eastAsia" w:ascii="宋体" w:hAnsi="宋体" w:eastAsia="宋体" w:cs="宋体"/>
                <w:color w:val="auto"/>
                <w:sz w:val="21"/>
                <w:szCs w:val="21"/>
                <w:highlight w:val="none"/>
                <w:lang w:val="en-US" w:eastAsia="zh-CN"/>
              </w:rPr>
              <w:t>。</w:t>
            </w:r>
          </w:p>
          <w:p w14:paraId="7FC9E8FE">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必要的保险费用和各项税金</w:t>
            </w:r>
            <w:r>
              <w:rPr>
                <w:rFonts w:hint="eastAsia" w:ascii="宋体" w:hAnsi="宋体" w:eastAsia="宋体" w:cs="宋体"/>
                <w:color w:val="auto"/>
                <w:sz w:val="21"/>
                <w:szCs w:val="21"/>
                <w:highlight w:val="none"/>
                <w:lang w:val="en-US" w:eastAsia="zh-CN"/>
              </w:rPr>
              <w:t>。</w:t>
            </w:r>
          </w:p>
          <w:p w14:paraId="167563DC">
            <w:pPr>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right="0" w:firstLine="420" w:firstLineChars="200"/>
              <w:jc w:val="both"/>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与本项目有关的其他一切费用。</w:t>
            </w:r>
          </w:p>
          <w:p w14:paraId="480CE61F">
            <w:pPr>
              <w:numPr>
                <w:ilvl w:val="0"/>
                <w:numId w:val="0"/>
              </w:numPr>
              <w:adjustRightInd w:val="0"/>
              <w:snapToGrid w:val="0"/>
              <w:spacing w:before="0" w:beforeAutospacing="0" w:after="0" w:afterAutospacing="0" w:line="360" w:lineRule="auto"/>
              <w:ind w:left="0" w:right="0" w:firstLine="420" w:firstLineChars="200"/>
              <w:jc w:val="both"/>
              <w:rPr>
                <w:rFonts w:hint="eastAsia" w:ascii="宋体" w:hAnsi="宋体" w:eastAsia="宋体" w:cs="宋体"/>
                <w:b w:val="0"/>
                <w:bCs w:val="0"/>
                <w:color w:val="auto"/>
                <w:sz w:val="21"/>
                <w:szCs w:val="21"/>
                <w:highlight w:val="none"/>
                <w:lang w:val="en-US"/>
              </w:rPr>
            </w:pPr>
            <w:r>
              <w:rPr>
                <w:rFonts w:hint="eastAsia" w:ascii="宋体" w:hAnsi="宋体" w:eastAsia="宋体" w:cs="宋体"/>
                <w:color w:val="auto"/>
                <w:sz w:val="21"/>
                <w:szCs w:val="21"/>
                <w:highlight w:val="none"/>
                <w:lang w:val="en-US"/>
              </w:rPr>
              <w:t>采购人不再支付成交价格以外的任何费用。</w:t>
            </w:r>
            <w:r>
              <w:rPr>
                <w:rFonts w:hint="eastAsia" w:ascii="宋体" w:hAnsi="宋体" w:eastAsia="宋体" w:cs="宋体"/>
                <w:color w:val="auto"/>
                <w:sz w:val="21"/>
                <w:szCs w:val="21"/>
                <w:highlight w:val="none"/>
                <w:lang w:val="en-US" w:eastAsia="zh-CN"/>
              </w:rPr>
              <w:t>运维服务期间，运维方不能以任何形式外包合同规定的运行维护任务。</w:t>
            </w:r>
          </w:p>
        </w:tc>
      </w:tr>
      <w:tr w14:paraId="619A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996" w:type="dxa"/>
            <w:gridSpan w:val="4"/>
            <w:vAlign w:val="center"/>
          </w:tcPr>
          <w:p w14:paraId="4EC25933">
            <w:pPr>
              <w:pStyle w:val="4"/>
              <w:spacing w:before="0" w:beforeAutospacing="0" w:after="0" w:afterAutospacing="0"/>
              <w:ind w:left="0" w:right="0" w:firstLine="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付款</w:t>
            </w:r>
            <w:r>
              <w:rPr>
                <w:rFonts w:hint="eastAsia" w:cs="宋体"/>
                <w:b/>
                <w:bCs/>
                <w:color w:val="auto"/>
                <w:sz w:val="21"/>
                <w:szCs w:val="21"/>
                <w:highlight w:val="none"/>
                <w:lang w:val="en-US" w:eastAsia="zh-CN"/>
              </w:rPr>
              <w:t>条件</w:t>
            </w:r>
          </w:p>
        </w:tc>
        <w:tc>
          <w:tcPr>
            <w:tcW w:w="6816" w:type="dxa"/>
            <w:vAlign w:val="center"/>
          </w:tcPr>
          <w:p w14:paraId="09726AAF">
            <w:pPr>
              <w:numPr>
                <w:ilvl w:val="0"/>
                <w:numId w:val="0"/>
              </w:numPr>
              <w:adjustRightInd w:val="0"/>
              <w:snapToGrid w:val="0"/>
              <w:spacing w:before="0" w:beforeAutospacing="0" w:after="0" w:afterAutospacing="0" w:line="360" w:lineRule="auto"/>
              <w:ind w:left="0" w:right="0"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rPr>
              <w:t>本项目服务费分</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val="en-US"/>
              </w:rPr>
              <w:t>期支付给成交运维</w:t>
            </w:r>
            <w:r>
              <w:rPr>
                <w:rFonts w:hint="eastAsia" w:ascii="宋体" w:hAnsi="宋体" w:eastAsia="宋体" w:cs="宋体"/>
                <w:color w:val="auto"/>
                <w:kern w:val="0"/>
                <w:sz w:val="21"/>
                <w:szCs w:val="21"/>
                <w:highlight w:val="none"/>
                <w:lang w:val="en-US" w:eastAsia="zh-CN"/>
              </w:rPr>
              <w:t>机构</w:t>
            </w:r>
            <w:r>
              <w:rPr>
                <w:rFonts w:hint="eastAsia" w:ascii="宋体" w:hAnsi="宋体" w:eastAsia="宋体" w:cs="宋体"/>
                <w:color w:val="auto"/>
                <w:kern w:val="0"/>
                <w:sz w:val="21"/>
                <w:szCs w:val="21"/>
                <w:highlight w:val="none"/>
                <w:lang w:val="en-US"/>
              </w:rPr>
              <w:t>，第一期</w:t>
            </w:r>
            <w:r>
              <w:rPr>
                <w:rFonts w:hint="eastAsia" w:ascii="宋体" w:hAnsi="宋体" w:eastAsia="宋体" w:cs="宋体"/>
                <w:color w:val="auto"/>
                <w:kern w:val="0"/>
                <w:sz w:val="21"/>
                <w:szCs w:val="21"/>
                <w:highlight w:val="none"/>
                <w:lang w:val="en-US" w:eastAsia="zh-CN"/>
              </w:rPr>
              <w:t>双方</w:t>
            </w:r>
            <w:r>
              <w:rPr>
                <w:rFonts w:hint="eastAsia" w:ascii="宋体" w:hAnsi="宋体" w:eastAsia="宋体" w:cs="宋体"/>
                <w:color w:val="auto"/>
                <w:sz w:val="21"/>
                <w:szCs w:val="21"/>
                <w:highlight w:val="none"/>
                <w:lang w:val="en-US"/>
              </w:rPr>
              <w:t>签订合同</w:t>
            </w:r>
            <w:r>
              <w:rPr>
                <w:rFonts w:hint="eastAsia" w:ascii="宋体" w:hAnsi="宋体" w:eastAsia="宋体" w:cs="宋体"/>
                <w:color w:val="auto"/>
                <w:sz w:val="21"/>
                <w:szCs w:val="21"/>
                <w:highlight w:val="none"/>
                <w:lang w:val="en-US" w:eastAsia="zh-CN"/>
              </w:rPr>
              <w:t>后15</w:t>
            </w:r>
            <w:r>
              <w:rPr>
                <w:rFonts w:hint="eastAsia" w:ascii="宋体" w:hAnsi="宋体" w:eastAsia="宋体" w:cs="宋体"/>
                <w:color w:val="auto"/>
                <w:sz w:val="21"/>
                <w:szCs w:val="21"/>
                <w:highlight w:val="none"/>
                <w:lang w:val="en-US"/>
              </w:rPr>
              <w:t>个工作日内支付合同款的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0%；</w:t>
            </w:r>
            <w:r>
              <w:rPr>
                <w:rFonts w:hint="eastAsia" w:ascii="宋体" w:hAnsi="宋体" w:eastAsia="宋体" w:cs="宋体"/>
                <w:color w:val="auto"/>
                <w:kern w:val="0"/>
                <w:sz w:val="21"/>
                <w:szCs w:val="21"/>
                <w:highlight w:val="none"/>
                <w:lang w:val="en-US"/>
              </w:rPr>
              <w:t>第二期</w:t>
            </w:r>
            <w:r>
              <w:rPr>
                <w:rFonts w:hint="eastAsia" w:ascii="宋体" w:hAnsi="宋体" w:eastAsia="宋体" w:cs="宋体"/>
                <w:color w:val="auto"/>
                <w:kern w:val="0"/>
                <w:sz w:val="21"/>
                <w:szCs w:val="21"/>
                <w:highlight w:val="none"/>
                <w:lang w:val="en-US" w:eastAsia="zh-CN"/>
              </w:rPr>
              <w:t>在</w:t>
            </w:r>
            <w:r>
              <w:rPr>
                <w:rFonts w:hint="eastAsia" w:ascii="宋体" w:hAnsi="宋体" w:eastAsia="宋体" w:cs="宋体"/>
                <w:color w:val="auto"/>
                <w:sz w:val="21"/>
                <w:szCs w:val="21"/>
                <w:highlight w:val="none"/>
                <w:lang w:val="en-US" w:eastAsia="zh-CN"/>
              </w:rPr>
              <w:t>2025年1</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月底前，</w:t>
            </w:r>
            <w:r>
              <w:rPr>
                <w:rFonts w:hint="eastAsia" w:ascii="宋体" w:hAnsi="宋体" w:eastAsia="宋体" w:cs="宋体"/>
                <w:color w:val="auto"/>
                <w:kern w:val="0"/>
                <w:sz w:val="21"/>
                <w:szCs w:val="21"/>
                <w:highlight w:val="none"/>
                <w:lang w:val="en-US"/>
              </w:rPr>
              <w:t>根据</w:t>
            </w:r>
            <w:r>
              <w:rPr>
                <w:rFonts w:hint="eastAsia" w:ascii="宋体" w:hAnsi="宋体" w:eastAsia="宋体" w:cs="宋体"/>
                <w:color w:val="auto"/>
                <w:kern w:val="0"/>
                <w:sz w:val="21"/>
                <w:szCs w:val="21"/>
                <w:highlight w:val="none"/>
                <w:lang w:val="en-US" w:eastAsia="zh-CN"/>
              </w:rPr>
              <w:t>项目运维质量</w:t>
            </w:r>
            <w:r>
              <w:rPr>
                <w:rFonts w:hint="eastAsia" w:ascii="宋体" w:hAnsi="宋体" w:eastAsia="宋体" w:cs="宋体"/>
                <w:color w:val="auto"/>
                <w:kern w:val="0"/>
                <w:sz w:val="21"/>
                <w:szCs w:val="21"/>
                <w:highlight w:val="none"/>
                <w:lang w:val="en-US"/>
              </w:rPr>
              <w:t>考核结果（运维费核算方法的考核总分）支付合同总价的</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rPr>
              <w:t>0%</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rPr>
              <w:t>第</w:t>
            </w:r>
            <w:r>
              <w:rPr>
                <w:rFonts w:hint="eastAsia" w:ascii="宋体" w:hAnsi="宋体" w:eastAsia="宋体" w:cs="宋体"/>
                <w:color w:val="auto"/>
                <w:kern w:val="0"/>
                <w:sz w:val="21"/>
                <w:szCs w:val="21"/>
                <w:highlight w:val="none"/>
                <w:lang w:val="en-US" w:eastAsia="zh-CN"/>
              </w:rPr>
              <w:t>三</w:t>
            </w:r>
            <w:r>
              <w:rPr>
                <w:rFonts w:hint="eastAsia" w:ascii="宋体" w:hAnsi="宋体" w:eastAsia="宋体" w:cs="宋体"/>
                <w:color w:val="auto"/>
                <w:kern w:val="0"/>
                <w:sz w:val="21"/>
                <w:szCs w:val="21"/>
                <w:highlight w:val="none"/>
                <w:lang w:val="en-US"/>
              </w:rPr>
              <w:t>期</w:t>
            </w:r>
            <w:r>
              <w:rPr>
                <w:rFonts w:hint="eastAsia" w:ascii="宋体" w:hAnsi="宋体" w:eastAsia="宋体" w:cs="宋体"/>
                <w:color w:val="auto"/>
                <w:kern w:val="0"/>
                <w:sz w:val="21"/>
                <w:szCs w:val="21"/>
                <w:highlight w:val="none"/>
                <w:lang w:val="en-US" w:eastAsia="zh-CN"/>
              </w:rPr>
              <w:t>在</w:t>
            </w:r>
            <w:r>
              <w:rPr>
                <w:rFonts w:hint="eastAsia" w:ascii="宋体" w:hAnsi="宋体" w:eastAsia="宋体" w:cs="宋体"/>
                <w:color w:val="auto"/>
                <w:sz w:val="21"/>
                <w:szCs w:val="21"/>
                <w:highlight w:val="none"/>
                <w:lang w:val="en-US" w:eastAsia="zh-CN"/>
              </w:rPr>
              <w:t>服务期满完成所有的运维交接工作后15个工作日内，</w:t>
            </w:r>
            <w:r>
              <w:rPr>
                <w:rFonts w:hint="eastAsia" w:ascii="宋体" w:hAnsi="宋体" w:eastAsia="宋体" w:cs="宋体"/>
                <w:color w:val="auto"/>
                <w:kern w:val="0"/>
                <w:sz w:val="21"/>
                <w:szCs w:val="21"/>
                <w:highlight w:val="none"/>
                <w:lang w:val="en-US"/>
              </w:rPr>
              <w:t>根据考核结果（运维费核算方法的考核总分）支付合同总价的剩余款项</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val="en-US"/>
              </w:rPr>
              <w:t>。对达不到运维要求或违规操作的，</w:t>
            </w:r>
            <w:r>
              <w:rPr>
                <w:rFonts w:hint="eastAsia" w:ascii="宋体" w:hAnsi="宋体" w:eastAsia="宋体" w:cs="宋体"/>
                <w:color w:val="auto"/>
                <w:kern w:val="0"/>
                <w:sz w:val="21"/>
                <w:szCs w:val="21"/>
                <w:highlight w:val="none"/>
                <w:lang w:val="en-US" w:eastAsia="zh-CN"/>
              </w:rPr>
              <w:t>延长运维期或</w:t>
            </w:r>
            <w:r>
              <w:rPr>
                <w:rFonts w:hint="eastAsia" w:ascii="宋体" w:hAnsi="宋体" w:eastAsia="宋体" w:cs="宋体"/>
                <w:color w:val="auto"/>
                <w:kern w:val="0"/>
                <w:sz w:val="21"/>
                <w:szCs w:val="21"/>
                <w:highlight w:val="none"/>
                <w:lang w:val="en-US"/>
              </w:rPr>
              <w:t>扣减相应的运维费</w:t>
            </w:r>
            <w:r>
              <w:rPr>
                <w:rFonts w:hint="eastAsia" w:ascii="宋体" w:hAnsi="宋体" w:eastAsia="宋体" w:cs="宋体"/>
                <w:color w:val="auto"/>
                <w:kern w:val="0"/>
                <w:sz w:val="21"/>
                <w:szCs w:val="21"/>
                <w:highlight w:val="none"/>
                <w:lang w:val="en-US" w:eastAsia="zh-CN"/>
              </w:rPr>
              <w:t>。</w:t>
            </w:r>
          </w:p>
        </w:tc>
      </w:tr>
    </w:tbl>
    <w:p w14:paraId="6681C843">
      <w:pPr>
        <w:bidi w:val="0"/>
        <w:rPr>
          <w:rFonts w:hint="eastAsia"/>
          <w:color w:val="auto"/>
          <w:lang w:val="en-US" w:eastAsia="zh-CN"/>
        </w:rPr>
      </w:pPr>
    </w:p>
    <w:p w14:paraId="29686F5A">
      <w:pPr>
        <w:bidi w:val="0"/>
        <w:rPr>
          <w:rFonts w:hint="eastAsia"/>
          <w:color w:val="auto"/>
          <w:lang w:val="en-US" w:eastAsia="zh-CN"/>
        </w:rPr>
      </w:pPr>
      <w:r>
        <w:rPr>
          <w:rFonts w:hint="eastAsia"/>
          <w:color w:val="auto"/>
          <w:lang w:val="en-US" w:eastAsia="zh-CN"/>
        </w:rPr>
        <w:br w:type="page"/>
      </w:r>
    </w:p>
    <w:p w14:paraId="7FC6C4CB">
      <w:pPr>
        <w:snapToGrid w:val="0"/>
        <w:spacing w:before="156" w:after="156" w:line="400" w:lineRule="exact"/>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附表1</w:t>
      </w:r>
    </w:p>
    <w:p w14:paraId="4D5C11C1">
      <w:pPr>
        <w:snapToGrid w:val="0"/>
        <w:spacing w:before="156" w:after="156" w:line="400" w:lineRule="exact"/>
        <w:ind w:firstLine="643" w:firstLineChars="200"/>
        <w:jc w:val="both"/>
        <w:rPr>
          <w:rFonts w:hint="eastAsia" w:ascii="方正小标宋简体" w:hAnsi="方正小标宋简体" w:eastAsia="方正小标宋简体" w:cs="方正小标宋简体"/>
          <w:b/>
          <w:bCs/>
          <w:color w:val="auto"/>
          <w:sz w:val="32"/>
          <w:szCs w:val="32"/>
          <w:lang w:eastAsia="zh-CN"/>
        </w:rPr>
      </w:pPr>
      <w:r>
        <w:rPr>
          <w:rFonts w:hint="eastAsia" w:ascii="方正小标宋简体" w:hAnsi="方正小标宋简体" w:eastAsia="方正小标宋简体" w:cs="方正小标宋简体"/>
          <w:b/>
          <w:bCs/>
          <w:color w:val="auto"/>
          <w:sz w:val="32"/>
          <w:szCs w:val="32"/>
        </w:rPr>
        <w:t>环境空气自动监测质量现场检查</w:t>
      </w:r>
      <w:r>
        <w:rPr>
          <w:rFonts w:hint="eastAsia" w:ascii="方正小标宋简体" w:hAnsi="方正小标宋简体" w:eastAsia="方正小标宋简体" w:cs="方正小标宋简体"/>
          <w:b/>
          <w:bCs/>
          <w:color w:val="auto"/>
          <w:sz w:val="32"/>
          <w:szCs w:val="32"/>
          <w:lang w:val="en-US" w:eastAsia="zh-CN"/>
        </w:rPr>
        <w:t>季度</w:t>
      </w:r>
      <w:r>
        <w:rPr>
          <w:rFonts w:hint="eastAsia" w:ascii="方正小标宋简体" w:hAnsi="方正小标宋简体" w:eastAsia="方正小标宋简体" w:cs="方正小标宋简体"/>
          <w:b/>
          <w:bCs/>
          <w:color w:val="auto"/>
          <w:sz w:val="32"/>
          <w:szCs w:val="32"/>
        </w:rPr>
        <w:t>评分表</w:t>
      </w:r>
      <w:r>
        <w:rPr>
          <w:rFonts w:hint="eastAsia" w:ascii="方正小标宋简体" w:hAnsi="方正小标宋简体" w:eastAsia="方正小标宋简体" w:cs="方正小标宋简体"/>
          <w:b/>
          <w:bCs/>
          <w:color w:val="auto"/>
          <w:sz w:val="32"/>
          <w:szCs w:val="32"/>
          <w:lang w:eastAsia="zh-CN"/>
        </w:rPr>
        <w:t>（</w:t>
      </w:r>
      <w:r>
        <w:rPr>
          <w:rFonts w:hint="eastAsia" w:ascii="方正小标宋简体" w:hAnsi="方正小标宋简体" w:eastAsia="方正小标宋简体" w:cs="方正小标宋简体"/>
          <w:b/>
          <w:bCs/>
          <w:color w:val="auto"/>
          <w:sz w:val="32"/>
          <w:szCs w:val="32"/>
          <w:lang w:val="en-US" w:eastAsia="zh-CN"/>
        </w:rPr>
        <w:t>清洁对照点</w:t>
      </w:r>
      <w:r>
        <w:rPr>
          <w:rFonts w:hint="eastAsia" w:ascii="方正小标宋简体" w:hAnsi="方正小标宋简体" w:eastAsia="方正小标宋简体" w:cs="方正小标宋简体"/>
          <w:b/>
          <w:bCs/>
          <w:color w:val="auto"/>
          <w:sz w:val="32"/>
          <w:szCs w:val="32"/>
          <w:lang w:eastAsia="zh-CN"/>
        </w:rPr>
        <w:t>）</w:t>
      </w:r>
    </w:p>
    <w:p w14:paraId="04E19649">
      <w:pPr>
        <w:keepNext w:val="0"/>
        <w:keepLines w:val="0"/>
        <w:pageBreakBefore w:val="0"/>
        <w:widowControl w:val="0"/>
        <w:kinsoku/>
        <w:wordWrap/>
        <w:overflowPunct/>
        <w:topLinePunct w:val="0"/>
        <w:autoSpaceDE/>
        <w:autoSpaceDN/>
        <w:bidi w:val="0"/>
        <w:adjustRightInd/>
        <w:snapToGrid w:val="0"/>
        <w:spacing w:before="156" w:after="156" w:line="300" w:lineRule="exact"/>
        <w:jc w:val="left"/>
        <w:textAlignment w:val="auto"/>
        <w:rPr>
          <w:rFonts w:hint="eastAsia"/>
          <w:b/>
          <w:bCs/>
          <w:color w:val="auto"/>
        </w:rPr>
      </w:pPr>
      <w:r>
        <w:rPr>
          <w:rFonts w:hint="eastAsia" w:ascii="宋体" w:hAnsi="宋体"/>
          <w:b/>
          <w:bCs/>
          <w:color w:val="auto"/>
          <w:kern w:val="0"/>
        </w:rPr>
        <w:t>站点所在地</w:t>
      </w:r>
      <w:r>
        <w:rPr>
          <w:rFonts w:hint="eastAsia" w:ascii="宋体" w:hAnsi="宋体"/>
          <w:color w:val="auto"/>
          <w:kern w:val="0"/>
        </w:rPr>
        <w:t>：</w:t>
      </w:r>
      <w:r>
        <w:rPr>
          <w:rFonts w:hint="eastAsia" w:ascii="宋体" w:hAnsi="宋体"/>
          <w:color w:val="auto"/>
          <w:kern w:val="0"/>
          <w:lang w:val="en-US" w:eastAsia="zh-CN"/>
        </w:rPr>
        <w:t xml:space="preserve">   </w:t>
      </w:r>
      <w:r>
        <w:rPr>
          <w:rFonts w:hint="eastAsia" w:ascii="宋体" w:hAnsi="宋体"/>
          <w:color w:val="auto"/>
          <w:kern w:val="0"/>
          <w:u w:val="single"/>
          <w:lang w:val="en-US" w:eastAsia="zh-CN"/>
        </w:rPr>
        <w:t xml:space="preserve">  </w:t>
      </w:r>
      <w:r>
        <w:rPr>
          <w:color w:val="auto"/>
          <w:kern w:val="0"/>
          <w:u w:val="single"/>
        </w:rPr>
        <w:t xml:space="preserve"> </w:t>
      </w:r>
      <w:r>
        <w:rPr>
          <w:rFonts w:hint="eastAsia"/>
          <w:color w:val="auto"/>
          <w:kern w:val="0"/>
          <w:u w:val="single"/>
          <w:lang w:val="en-US" w:eastAsia="zh-CN"/>
        </w:rPr>
        <w:t xml:space="preserve">  北海  </w:t>
      </w:r>
      <w:r>
        <w:rPr>
          <w:color w:val="auto"/>
          <w:kern w:val="0"/>
          <w:u w:val="single"/>
        </w:rPr>
        <w:t xml:space="preserve">     </w:t>
      </w:r>
      <w:r>
        <w:rPr>
          <w:rFonts w:hint="eastAsia" w:ascii="宋体" w:hAnsi="宋体"/>
          <w:color w:val="auto"/>
          <w:kern w:val="0"/>
        </w:rPr>
        <w:t>（县）</w:t>
      </w:r>
      <w:r>
        <w:rPr>
          <w:color w:val="auto"/>
          <w:kern w:val="0"/>
        </w:rPr>
        <w:t xml:space="preserve"> </w:t>
      </w:r>
      <w:r>
        <w:rPr>
          <w:rFonts w:hint="eastAsia" w:ascii="宋体" w:hAnsi="宋体"/>
          <w:color w:val="auto"/>
          <w:kern w:val="0"/>
        </w:rPr>
        <w:t>市</w:t>
      </w:r>
      <w:r>
        <w:rPr>
          <w:color w:val="auto"/>
          <w:kern w:val="0"/>
        </w:rPr>
        <w:t xml:space="preserve">   </w:t>
      </w:r>
      <w:r>
        <w:rPr>
          <w:rFonts w:hint="eastAsia"/>
          <w:color w:val="auto"/>
          <w:kern w:val="0"/>
          <w:lang w:val="en-US" w:eastAsia="zh-CN"/>
        </w:rPr>
        <w:t xml:space="preserve"> </w:t>
      </w:r>
      <w:r>
        <w:rPr>
          <w:color w:val="auto"/>
          <w:kern w:val="0"/>
        </w:rPr>
        <w:t xml:space="preserve"> </w:t>
      </w:r>
      <w:r>
        <w:rPr>
          <w:rFonts w:hint="eastAsia" w:ascii="宋体" w:hAnsi="宋体"/>
          <w:b/>
          <w:bCs/>
          <w:color w:val="auto"/>
          <w:kern w:val="0"/>
        </w:rPr>
        <w:t>子站名称：</w:t>
      </w:r>
      <w:r>
        <w:rPr>
          <w:rFonts w:hint="eastAsia" w:ascii="宋体" w:hAnsi="宋体"/>
          <w:b w:val="0"/>
          <w:bCs w:val="0"/>
          <w:color w:val="auto"/>
          <w:kern w:val="0"/>
          <w:u w:val="single"/>
          <w:lang w:val="en-US" w:eastAsia="zh-CN"/>
        </w:rPr>
        <w:t>牛尾岭水库</w:t>
      </w:r>
      <w:r>
        <w:rPr>
          <w:rFonts w:hint="eastAsia" w:ascii="宋体" w:hAnsi="宋体"/>
          <w:b/>
          <w:bCs/>
          <w:color w:val="auto"/>
          <w:kern w:val="0"/>
          <w:u w:val="single"/>
          <w:lang w:val="en-US" w:eastAsia="zh-CN"/>
        </w:rPr>
        <w:t xml:space="preserve"> </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p>
    <w:p w14:paraId="02D2603A">
      <w:pPr>
        <w:keepNext w:val="0"/>
        <w:keepLines w:val="0"/>
        <w:pageBreakBefore w:val="0"/>
        <w:widowControl w:val="0"/>
        <w:kinsoku/>
        <w:wordWrap/>
        <w:overflowPunct/>
        <w:topLinePunct w:val="0"/>
        <w:autoSpaceDE/>
        <w:autoSpaceDN/>
        <w:bidi w:val="0"/>
        <w:adjustRightInd/>
        <w:snapToGrid w:val="0"/>
        <w:spacing w:line="300" w:lineRule="exact"/>
        <w:textAlignment w:val="auto"/>
        <w:rPr>
          <w:color w:val="auto"/>
          <w:kern w:val="0"/>
        </w:rPr>
      </w:pPr>
      <w:r>
        <w:rPr>
          <w:rFonts w:hint="eastAsia" w:ascii="宋体" w:hAnsi="宋体"/>
          <w:b/>
          <w:bCs/>
          <w:color w:val="auto"/>
          <w:kern w:val="0"/>
        </w:rPr>
        <w:t>仪器型号</w:t>
      </w:r>
      <w:r>
        <w:rPr>
          <w:rFonts w:hint="eastAsia" w:ascii="宋体" w:hAnsi="宋体"/>
          <w:color w:val="auto"/>
          <w:kern w:val="0"/>
        </w:rPr>
        <w:t>：</w:t>
      </w:r>
      <w:r>
        <w:rPr>
          <w:color w:val="auto"/>
          <w:kern w:val="0"/>
        </w:rPr>
        <w:t>SO</w:t>
      </w:r>
      <w:r>
        <w:rPr>
          <w:color w:val="auto"/>
          <w:kern w:val="0"/>
          <w:vertAlign w:val="subscript"/>
        </w:rPr>
        <w:t>2</w:t>
      </w:r>
      <w:r>
        <w:rPr>
          <w:rFonts w:hint="eastAsia" w:ascii="宋体" w:hAnsi="宋体"/>
          <w:color w:val="auto"/>
          <w:kern w:val="0"/>
        </w:rPr>
        <w:t>：</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color w:val="auto"/>
          <w:kern w:val="0"/>
        </w:rPr>
        <w:t xml:space="preserve"> NOx</w:t>
      </w:r>
      <w:r>
        <w:rPr>
          <w:rFonts w:hint="eastAsia" w:ascii="宋体" w:hAnsi="宋体"/>
          <w:color w:val="auto"/>
          <w:kern w:val="0"/>
        </w:rPr>
        <w:t>：</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color w:val="auto"/>
          <w:kern w:val="0"/>
        </w:rPr>
        <w:t>CO</w:t>
      </w:r>
      <w:r>
        <w:rPr>
          <w:rFonts w:hint="eastAsia" w:ascii="宋体" w:hAnsi="宋体"/>
          <w:color w:val="auto"/>
          <w:kern w:val="0"/>
        </w:rPr>
        <w:t>：</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color w:val="auto"/>
          <w:kern w:val="0"/>
        </w:rPr>
        <w:t xml:space="preserve"> </w:t>
      </w:r>
    </w:p>
    <w:p w14:paraId="28FBBE39">
      <w:pPr>
        <w:keepNext w:val="0"/>
        <w:keepLines w:val="0"/>
        <w:pageBreakBefore w:val="0"/>
        <w:widowControl w:val="0"/>
        <w:kinsoku/>
        <w:wordWrap/>
        <w:overflowPunct/>
        <w:topLinePunct w:val="0"/>
        <w:autoSpaceDE/>
        <w:autoSpaceDN/>
        <w:bidi w:val="0"/>
        <w:adjustRightInd/>
        <w:snapToGrid w:val="0"/>
        <w:spacing w:line="320" w:lineRule="exact"/>
        <w:ind w:firstLine="1100" w:firstLineChars="500"/>
        <w:textAlignment w:val="auto"/>
        <w:rPr>
          <w:rFonts w:hint="eastAsia"/>
          <w:b w:val="0"/>
          <w:bCs w:val="0"/>
          <w:color w:val="auto"/>
          <w:kern w:val="0"/>
          <w:u w:val="none"/>
          <w:lang w:val="en-US" w:eastAsia="zh-CN"/>
        </w:rPr>
      </w:pPr>
      <w:r>
        <w:rPr>
          <w:color w:val="auto"/>
          <w:kern w:val="0"/>
        </w:rPr>
        <w:t>O</w:t>
      </w:r>
      <w:r>
        <w:rPr>
          <w:color w:val="auto"/>
          <w:kern w:val="0"/>
          <w:vertAlign w:val="subscript"/>
        </w:rPr>
        <w:t>3</w:t>
      </w:r>
      <w:r>
        <w:rPr>
          <w:rFonts w:hint="eastAsia" w:ascii="宋体" w:hAnsi="宋体"/>
          <w:color w:val="auto"/>
          <w:kern w:val="0"/>
        </w:rPr>
        <w:t>：</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color w:val="auto"/>
          <w:kern w:val="0"/>
        </w:rPr>
        <w:t>PM</w:t>
      </w:r>
      <w:r>
        <w:rPr>
          <w:color w:val="auto"/>
          <w:kern w:val="0"/>
          <w:vertAlign w:val="subscript"/>
        </w:rPr>
        <w:t>10</w:t>
      </w:r>
      <w:r>
        <w:rPr>
          <w:rFonts w:hint="eastAsia" w:ascii="宋体" w:hAnsi="宋体"/>
          <w:color w:val="auto"/>
          <w:kern w:val="0"/>
        </w:rPr>
        <w:t>：</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color w:val="auto"/>
          <w:kern w:val="0"/>
        </w:rPr>
        <w:t xml:space="preserve"> PM</w:t>
      </w:r>
      <w:r>
        <w:rPr>
          <w:color w:val="auto"/>
          <w:kern w:val="0"/>
          <w:vertAlign w:val="subscript"/>
        </w:rPr>
        <w:t>2.5</w:t>
      </w:r>
      <w:r>
        <w:rPr>
          <w:rFonts w:hint="eastAsia" w:ascii="宋体" w:hAnsi="宋体"/>
          <w:color w:val="auto"/>
          <w:kern w:val="0"/>
        </w:rPr>
        <w:t>：</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rFonts w:hint="eastAsia"/>
          <w:b w:val="0"/>
          <w:bCs w:val="0"/>
          <w:color w:val="auto"/>
          <w:kern w:val="0"/>
          <w:u w:val="none"/>
          <w:lang w:val="en-US" w:eastAsia="zh-CN"/>
        </w:rPr>
        <w:t xml:space="preserve">  </w:t>
      </w:r>
    </w:p>
    <w:p w14:paraId="2D07DD99">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b w:val="0"/>
          <w:bCs w:val="0"/>
          <w:color w:val="auto"/>
          <w:kern w:val="0"/>
          <w:u w:val="none"/>
          <w:lang w:val="en-US" w:eastAsia="zh-CN"/>
        </w:rPr>
      </w:pPr>
      <w:r>
        <w:rPr>
          <w:rFonts w:hint="eastAsia"/>
          <w:b/>
          <w:bCs/>
          <w:color w:val="auto"/>
          <w:kern w:val="0"/>
          <w:u w:val="none"/>
          <w:lang w:val="en-US" w:eastAsia="zh-CN"/>
        </w:rPr>
        <w:t>考核时段：</w:t>
      </w:r>
      <w:r>
        <w:rPr>
          <w:rFonts w:hint="eastAsia"/>
          <w:b/>
          <w:bCs/>
          <w:color w:val="auto"/>
          <w:kern w:val="0"/>
          <w:u w:val="single"/>
          <w:lang w:val="en-US" w:eastAsia="zh-CN"/>
        </w:rPr>
        <w:t xml:space="preserve">                                   </w:t>
      </w:r>
    </w:p>
    <w:tbl>
      <w:tblPr>
        <w:tblStyle w:val="6"/>
        <w:tblW w:w="9720" w:type="dxa"/>
        <w:jc w:val="center"/>
        <w:tblLayout w:type="fixed"/>
        <w:tblCellMar>
          <w:top w:w="0" w:type="dxa"/>
          <w:left w:w="108" w:type="dxa"/>
          <w:bottom w:w="0" w:type="dxa"/>
          <w:right w:w="108" w:type="dxa"/>
        </w:tblCellMar>
      </w:tblPr>
      <w:tblGrid>
        <w:gridCol w:w="1080"/>
        <w:gridCol w:w="5400"/>
        <w:gridCol w:w="1060"/>
        <w:gridCol w:w="1525"/>
        <w:gridCol w:w="655"/>
      </w:tblGrid>
      <w:tr w14:paraId="0A1F3C4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870AA1F">
            <w:pPr>
              <w:adjustRightInd w:val="0"/>
              <w:snapToGrid w:val="0"/>
              <w:spacing w:before="0" w:beforeAutospacing="0" w:after="0" w:afterAutospacing="0"/>
              <w:ind w:left="0" w:leftChars="0" w:right="0"/>
              <w:jc w:val="both"/>
              <w:rPr>
                <w:rFonts w:hint="default"/>
                <w:b/>
                <w:bCs/>
                <w:color w:val="auto"/>
                <w:szCs w:val="21"/>
              </w:rPr>
            </w:pPr>
            <w:r>
              <w:rPr>
                <w:rFonts w:hint="eastAsia"/>
                <w:b/>
                <w:bCs/>
                <w:color w:val="auto"/>
              </w:rPr>
              <w:t>检查内容</w:t>
            </w:r>
          </w:p>
        </w:tc>
        <w:tc>
          <w:tcPr>
            <w:tcW w:w="5400" w:type="dxa"/>
            <w:tcBorders>
              <w:top w:val="single" w:color="auto" w:sz="4" w:space="0"/>
              <w:left w:val="nil"/>
              <w:bottom w:val="single" w:color="auto" w:sz="4" w:space="0"/>
              <w:right w:val="single" w:color="auto" w:sz="4" w:space="0"/>
            </w:tcBorders>
            <w:noWrap w:val="0"/>
            <w:vAlign w:val="center"/>
          </w:tcPr>
          <w:p w14:paraId="6A9F78E6">
            <w:pPr>
              <w:adjustRightInd w:val="0"/>
              <w:snapToGrid w:val="0"/>
              <w:spacing w:before="0" w:beforeAutospacing="0" w:after="0" w:afterAutospacing="0"/>
              <w:ind w:left="0" w:right="0"/>
              <w:jc w:val="center"/>
              <w:rPr>
                <w:rFonts w:hint="default"/>
                <w:b/>
                <w:bCs/>
                <w:color w:val="auto"/>
                <w:szCs w:val="21"/>
              </w:rPr>
            </w:pPr>
            <w:r>
              <w:rPr>
                <w:rFonts w:hint="eastAsia"/>
                <w:b/>
                <w:bCs/>
                <w:color w:val="auto"/>
              </w:rPr>
              <w:t>检查要点</w:t>
            </w:r>
          </w:p>
        </w:tc>
        <w:tc>
          <w:tcPr>
            <w:tcW w:w="1060" w:type="dxa"/>
            <w:tcBorders>
              <w:top w:val="single" w:color="auto" w:sz="4" w:space="0"/>
              <w:left w:val="nil"/>
              <w:bottom w:val="single" w:color="auto" w:sz="4" w:space="0"/>
              <w:right w:val="single" w:color="auto" w:sz="4" w:space="0"/>
            </w:tcBorders>
            <w:noWrap w:val="0"/>
            <w:vAlign w:val="center"/>
          </w:tcPr>
          <w:p w14:paraId="2DD2B8E3">
            <w:pPr>
              <w:adjustRightInd w:val="0"/>
              <w:snapToGrid w:val="0"/>
              <w:spacing w:before="0" w:beforeAutospacing="0" w:after="0" w:afterAutospacing="0"/>
              <w:ind w:left="0" w:right="0"/>
              <w:jc w:val="both"/>
              <w:rPr>
                <w:rFonts w:hint="default"/>
                <w:b/>
                <w:bCs/>
                <w:color w:val="auto"/>
                <w:szCs w:val="21"/>
              </w:rPr>
            </w:pPr>
            <w:r>
              <w:rPr>
                <w:rFonts w:hint="eastAsia"/>
                <w:b/>
                <w:bCs/>
                <w:color w:val="auto"/>
              </w:rPr>
              <w:t>单项分值</w:t>
            </w:r>
          </w:p>
        </w:tc>
        <w:tc>
          <w:tcPr>
            <w:tcW w:w="1525" w:type="dxa"/>
            <w:tcBorders>
              <w:top w:val="single" w:color="auto" w:sz="4" w:space="0"/>
              <w:left w:val="nil"/>
              <w:bottom w:val="single" w:color="auto" w:sz="4" w:space="0"/>
              <w:right w:val="single" w:color="auto" w:sz="4" w:space="0"/>
            </w:tcBorders>
            <w:noWrap w:val="0"/>
            <w:vAlign w:val="center"/>
          </w:tcPr>
          <w:p w14:paraId="536238B0">
            <w:pPr>
              <w:adjustRightInd w:val="0"/>
              <w:snapToGrid w:val="0"/>
              <w:spacing w:before="0" w:beforeAutospacing="0" w:after="0" w:afterAutospacing="0"/>
              <w:ind w:left="0" w:right="0"/>
              <w:jc w:val="center"/>
              <w:rPr>
                <w:rFonts w:hint="default"/>
                <w:b/>
                <w:bCs/>
                <w:color w:val="auto"/>
                <w:szCs w:val="21"/>
              </w:rPr>
            </w:pPr>
            <w:r>
              <w:rPr>
                <w:rFonts w:hint="eastAsia"/>
                <w:b/>
                <w:bCs/>
                <w:color w:val="auto"/>
              </w:rPr>
              <w:t>评分说明</w:t>
            </w:r>
          </w:p>
        </w:tc>
        <w:tc>
          <w:tcPr>
            <w:tcW w:w="655" w:type="dxa"/>
            <w:tcBorders>
              <w:top w:val="single" w:color="auto" w:sz="4" w:space="0"/>
              <w:left w:val="nil"/>
              <w:bottom w:val="single" w:color="auto" w:sz="4" w:space="0"/>
              <w:right w:val="single" w:color="auto" w:sz="4" w:space="0"/>
            </w:tcBorders>
            <w:noWrap w:val="0"/>
            <w:vAlign w:val="center"/>
          </w:tcPr>
          <w:p w14:paraId="122DBD53">
            <w:pPr>
              <w:adjustRightInd w:val="0"/>
              <w:snapToGrid w:val="0"/>
              <w:spacing w:before="0" w:beforeAutospacing="0" w:after="0" w:afterAutospacing="0"/>
              <w:ind w:left="0" w:right="0"/>
              <w:jc w:val="center"/>
              <w:rPr>
                <w:rFonts w:hint="default"/>
                <w:b/>
                <w:bCs/>
                <w:color w:val="auto"/>
                <w:szCs w:val="21"/>
              </w:rPr>
            </w:pPr>
            <w:r>
              <w:rPr>
                <w:rFonts w:hint="eastAsia"/>
                <w:b/>
                <w:bCs/>
                <w:color w:val="auto"/>
              </w:rPr>
              <w:t>得分</w:t>
            </w:r>
          </w:p>
        </w:tc>
      </w:tr>
      <w:tr w14:paraId="226CE0A7">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3E69474E">
            <w:pPr>
              <w:adjustRightInd w:val="0"/>
              <w:snapToGrid w:val="0"/>
              <w:spacing w:before="0" w:beforeAutospacing="0" w:after="0" w:afterAutospacing="0"/>
              <w:ind w:left="0" w:right="0"/>
              <w:jc w:val="center"/>
              <w:rPr>
                <w:rFonts w:hint="default"/>
                <w:b/>
                <w:bCs/>
                <w:color w:val="auto"/>
                <w:szCs w:val="21"/>
              </w:rPr>
            </w:pPr>
            <w:r>
              <w:rPr>
                <w:rFonts w:hint="default"/>
                <w:b/>
                <w:bCs/>
                <w:color w:val="auto"/>
              </w:rPr>
              <w:t>1.</w:t>
            </w:r>
            <w:r>
              <w:rPr>
                <w:rFonts w:hint="eastAsia" w:ascii="宋体" w:hAnsi="宋体"/>
                <w:b/>
                <w:bCs/>
                <w:color w:val="auto"/>
              </w:rPr>
              <w:t>站房及采样系统情况</w:t>
            </w:r>
          </w:p>
          <w:p w14:paraId="665D04A5">
            <w:pPr>
              <w:adjustRightInd w:val="0"/>
              <w:snapToGrid w:val="0"/>
              <w:spacing w:before="0" w:beforeAutospacing="0" w:after="0" w:afterAutospacing="0"/>
              <w:ind w:left="0" w:right="0"/>
              <w:jc w:val="center"/>
              <w:rPr>
                <w:rFonts w:hint="default"/>
                <w:b/>
                <w:bCs/>
                <w:color w:val="auto"/>
                <w:szCs w:val="21"/>
              </w:rPr>
            </w:pPr>
            <w:r>
              <w:rPr>
                <w:rFonts w:hint="eastAsia"/>
                <w:b/>
                <w:bCs/>
                <w:color w:val="auto"/>
              </w:rPr>
              <w:t>（</w:t>
            </w:r>
            <w:r>
              <w:rPr>
                <w:rFonts w:hint="eastAsia"/>
                <w:b/>
                <w:bCs/>
                <w:color w:val="auto"/>
                <w:lang w:val="en-US" w:eastAsia="zh-CN"/>
              </w:rPr>
              <w:t>13</w:t>
            </w:r>
            <w:r>
              <w:rPr>
                <w:rFonts w:hint="eastAsia" w:ascii="宋体" w:hAnsi="宋体"/>
                <w:b/>
                <w:bCs/>
                <w:color w:val="auto"/>
              </w:rPr>
              <w:t>分）</w:t>
            </w:r>
          </w:p>
        </w:tc>
        <w:tc>
          <w:tcPr>
            <w:tcW w:w="5400" w:type="dxa"/>
            <w:tcBorders>
              <w:top w:val="single" w:color="auto" w:sz="4" w:space="0"/>
              <w:left w:val="nil"/>
              <w:bottom w:val="single" w:color="auto" w:sz="4" w:space="0"/>
              <w:right w:val="single" w:color="auto" w:sz="4" w:space="0"/>
            </w:tcBorders>
            <w:noWrap w:val="0"/>
            <w:vAlign w:val="center"/>
          </w:tcPr>
          <w:p w14:paraId="499F479A">
            <w:pPr>
              <w:adjustRightInd w:val="0"/>
              <w:snapToGrid w:val="0"/>
              <w:spacing w:before="0" w:beforeAutospacing="0" w:after="0" w:afterAutospacing="0"/>
              <w:ind w:left="0" w:right="0"/>
              <w:jc w:val="left"/>
              <w:rPr>
                <w:rFonts w:hint="default"/>
                <w:color w:val="auto"/>
                <w:szCs w:val="21"/>
              </w:rPr>
            </w:pPr>
            <w:r>
              <w:rPr>
                <w:rFonts w:hint="eastAsia"/>
                <w:color w:val="auto"/>
              </w:rPr>
              <w:t>站房温度</w:t>
            </w:r>
            <w:r>
              <w:rPr>
                <w:rFonts w:hint="default"/>
                <w:color w:val="auto"/>
              </w:rPr>
              <w:softHyphen/>
            </w:r>
            <w:r>
              <w:rPr>
                <w:rFonts w:hint="default"/>
                <w:color w:val="auto"/>
              </w:rPr>
              <w:softHyphen/>
            </w:r>
            <w:r>
              <w:rPr>
                <w:rFonts w:hint="default"/>
                <w:color w:val="auto"/>
              </w:rPr>
              <w:softHyphen/>
            </w:r>
            <w:r>
              <w:rPr>
                <w:rFonts w:hint="default"/>
                <w:color w:val="auto"/>
              </w:rPr>
              <w:softHyphen/>
            </w:r>
            <w:r>
              <w:rPr>
                <w:rFonts w:hint="default"/>
                <w:color w:val="auto"/>
              </w:rPr>
              <w:t>__________</w:t>
            </w:r>
            <w:r>
              <w:rPr>
                <w:rFonts w:hint="eastAsia" w:ascii="宋体" w:hAnsi="宋体"/>
                <w:color w:val="auto"/>
              </w:rPr>
              <w:t>（</w:t>
            </w:r>
            <w:r>
              <w:rPr>
                <w:rFonts w:hint="default"/>
                <w:color w:val="auto"/>
              </w:rPr>
              <w:t>15-35</w:t>
            </w:r>
            <w:r>
              <w:rPr>
                <w:rFonts w:hint="eastAsia" w:ascii="宋体" w:hAnsi="宋体"/>
                <w:color w:val="auto"/>
              </w:rPr>
              <w:t>℃</w:t>
            </w:r>
            <w:r>
              <w:rPr>
                <w:rFonts w:hint="eastAsia"/>
                <w:color w:val="auto"/>
              </w:rPr>
              <w:t>）</w:t>
            </w:r>
            <w:r>
              <w:rPr>
                <w:rFonts w:hint="default"/>
                <w:color w:val="auto"/>
              </w:rPr>
              <w:t xml:space="preserve"> </w:t>
            </w:r>
          </w:p>
        </w:tc>
        <w:tc>
          <w:tcPr>
            <w:tcW w:w="1060" w:type="dxa"/>
            <w:tcBorders>
              <w:top w:val="single" w:color="auto" w:sz="4" w:space="0"/>
              <w:left w:val="nil"/>
              <w:bottom w:val="single" w:color="auto" w:sz="4" w:space="0"/>
              <w:right w:val="single" w:color="auto" w:sz="4" w:space="0"/>
            </w:tcBorders>
            <w:noWrap w:val="0"/>
            <w:vAlign w:val="center"/>
          </w:tcPr>
          <w:p w14:paraId="334B2659">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6F992F71">
            <w:pPr>
              <w:adjustRightInd w:val="0"/>
              <w:snapToGrid w:val="0"/>
              <w:spacing w:before="0" w:beforeAutospacing="0" w:after="0" w:afterAutospacing="0"/>
              <w:ind w:left="0" w:right="0"/>
              <w:jc w:val="center"/>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5131206A">
            <w:pPr>
              <w:adjustRightInd w:val="0"/>
              <w:snapToGrid w:val="0"/>
              <w:spacing w:before="0" w:beforeAutospacing="0" w:after="0" w:afterAutospacing="0"/>
              <w:ind w:left="0" w:right="0"/>
              <w:jc w:val="center"/>
              <w:rPr>
                <w:rFonts w:hint="default"/>
                <w:color w:val="auto"/>
                <w:szCs w:val="21"/>
              </w:rPr>
            </w:pPr>
          </w:p>
        </w:tc>
      </w:tr>
      <w:tr w14:paraId="0C1225E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35D6BED6">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20DD6CEE">
            <w:pPr>
              <w:adjustRightInd w:val="0"/>
              <w:snapToGrid w:val="0"/>
              <w:spacing w:before="0" w:beforeAutospacing="0" w:after="0" w:afterAutospacing="0"/>
              <w:ind w:left="0" w:right="0"/>
              <w:jc w:val="left"/>
              <w:rPr>
                <w:rFonts w:hint="default"/>
                <w:color w:val="auto"/>
                <w:szCs w:val="21"/>
              </w:rPr>
            </w:pPr>
            <w:r>
              <w:rPr>
                <w:rFonts w:hint="eastAsia"/>
                <w:color w:val="auto"/>
              </w:rPr>
              <w:t>相对湿度</w:t>
            </w:r>
            <w:r>
              <w:rPr>
                <w:rFonts w:hint="default"/>
                <w:color w:val="auto"/>
              </w:rPr>
              <w:t>__________</w:t>
            </w:r>
            <w:r>
              <w:rPr>
                <w:rFonts w:hint="eastAsia" w:ascii="宋体" w:hAnsi="宋体"/>
                <w:color w:val="auto"/>
              </w:rPr>
              <w:t>（</w:t>
            </w:r>
            <w:r>
              <w:rPr>
                <w:rFonts w:hint="default"/>
                <w:color w:val="auto"/>
              </w:rPr>
              <w:t>85%</w:t>
            </w:r>
            <w:r>
              <w:rPr>
                <w:rFonts w:hint="eastAsia" w:ascii="宋体" w:hAnsi="宋体"/>
                <w:color w:val="auto"/>
              </w:rPr>
              <w:t>以下）</w:t>
            </w:r>
          </w:p>
        </w:tc>
        <w:tc>
          <w:tcPr>
            <w:tcW w:w="1060" w:type="dxa"/>
            <w:tcBorders>
              <w:top w:val="single" w:color="auto" w:sz="4" w:space="0"/>
              <w:left w:val="nil"/>
              <w:bottom w:val="single" w:color="auto" w:sz="4" w:space="0"/>
              <w:right w:val="single" w:color="auto" w:sz="4" w:space="0"/>
            </w:tcBorders>
            <w:noWrap w:val="0"/>
            <w:vAlign w:val="center"/>
          </w:tcPr>
          <w:p w14:paraId="2F04EB40">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1DCDC649">
            <w:pPr>
              <w:adjustRightInd w:val="0"/>
              <w:snapToGrid w:val="0"/>
              <w:spacing w:before="0" w:beforeAutospacing="0" w:after="0" w:afterAutospacing="0"/>
              <w:ind w:left="0" w:right="0"/>
              <w:jc w:val="left"/>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5CC9642B">
            <w:pPr>
              <w:adjustRightInd w:val="0"/>
              <w:snapToGrid w:val="0"/>
              <w:spacing w:before="0" w:beforeAutospacing="0" w:after="0" w:afterAutospacing="0"/>
              <w:ind w:left="0" w:right="0"/>
              <w:jc w:val="left"/>
              <w:rPr>
                <w:rFonts w:hint="default"/>
                <w:color w:val="auto"/>
                <w:szCs w:val="21"/>
              </w:rPr>
            </w:pPr>
          </w:p>
        </w:tc>
      </w:tr>
      <w:tr w14:paraId="710B206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97002CE">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4902BB49">
            <w:pPr>
              <w:adjustRightInd w:val="0"/>
              <w:snapToGrid w:val="0"/>
              <w:spacing w:before="0" w:beforeAutospacing="0" w:after="0" w:afterAutospacing="0"/>
              <w:ind w:left="0" w:right="0"/>
              <w:jc w:val="left"/>
              <w:rPr>
                <w:rFonts w:hint="default"/>
                <w:color w:val="auto"/>
                <w:szCs w:val="21"/>
              </w:rPr>
            </w:pPr>
            <w:r>
              <w:rPr>
                <w:rFonts w:hint="eastAsia"/>
                <w:color w:val="auto"/>
              </w:rPr>
              <w:t>站房是否漏雨</w:t>
            </w:r>
          </w:p>
        </w:tc>
        <w:tc>
          <w:tcPr>
            <w:tcW w:w="1060" w:type="dxa"/>
            <w:tcBorders>
              <w:top w:val="single" w:color="auto" w:sz="4" w:space="0"/>
              <w:left w:val="nil"/>
              <w:bottom w:val="single" w:color="auto" w:sz="4" w:space="0"/>
              <w:right w:val="single" w:color="auto" w:sz="4" w:space="0"/>
            </w:tcBorders>
            <w:noWrap w:val="0"/>
            <w:vAlign w:val="center"/>
          </w:tcPr>
          <w:p w14:paraId="4862F334">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51DC5C0F">
            <w:pPr>
              <w:adjustRightInd w:val="0"/>
              <w:snapToGrid w:val="0"/>
              <w:spacing w:before="0" w:beforeAutospacing="0" w:after="0" w:afterAutospacing="0"/>
              <w:ind w:left="0" w:right="0"/>
              <w:jc w:val="center"/>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7832F743">
            <w:pPr>
              <w:adjustRightInd w:val="0"/>
              <w:snapToGrid w:val="0"/>
              <w:spacing w:before="0" w:beforeAutospacing="0" w:after="0" w:afterAutospacing="0"/>
              <w:ind w:left="0" w:right="0"/>
              <w:jc w:val="center"/>
              <w:rPr>
                <w:rFonts w:hint="default"/>
                <w:color w:val="auto"/>
                <w:szCs w:val="21"/>
              </w:rPr>
            </w:pPr>
          </w:p>
        </w:tc>
      </w:tr>
      <w:tr w14:paraId="76ED6EC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B88E123">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66F0ADE2">
            <w:pPr>
              <w:adjustRightInd w:val="0"/>
              <w:snapToGrid w:val="0"/>
              <w:spacing w:before="0" w:beforeAutospacing="0" w:after="0" w:afterAutospacing="0"/>
              <w:ind w:left="0" w:right="0"/>
              <w:jc w:val="left"/>
              <w:rPr>
                <w:rFonts w:hint="default"/>
                <w:color w:val="auto"/>
                <w:szCs w:val="21"/>
              </w:rPr>
            </w:pPr>
            <w:r>
              <w:rPr>
                <w:rFonts w:hint="eastAsia"/>
                <w:color w:val="auto"/>
              </w:rPr>
              <w:t>是否有避雷针接地、电源防雷、网络防雷。避雷针是否有检定证书</w:t>
            </w:r>
          </w:p>
        </w:tc>
        <w:tc>
          <w:tcPr>
            <w:tcW w:w="1060" w:type="dxa"/>
            <w:tcBorders>
              <w:top w:val="single" w:color="auto" w:sz="4" w:space="0"/>
              <w:left w:val="nil"/>
              <w:bottom w:val="single" w:color="auto" w:sz="4" w:space="0"/>
              <w:right w:val="single" w:color="auto" w:sz="4" w:space="0"/>
            </w:tcBorders>
            <w:noWrap w:val="0"/>
            <w:vAlign w:val="center"/>
          </w:tcPr>
          <w:p w14:paraId="7B6147B0">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5EC85B9F">
            <w:pPr>
              <w:adjustRightInd w:val="0"/>
              <w:snapToGrid w:val="0"/>
              <w:spacing w:before="0" w:beforeAutospacing="0" w:after="0" w:afterAutospacing="0"/>
              <w:ind w:left="0" w:right="0"/>
              <w:jc w:val="left"/>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4B671F0D">
            <w:pPr>
              <w:adjustRightInd w:val="0"/>
              <w:snapToGrid w:val="0"/>
              <w:spacing w:before="0" w:beforeAutospacing="0" w:after="0" w:afterAutospacing="0"/>
              <w:ind w:left="0" w:right="0"/>
              <w:jc w:val="left"/>
              <w:rPr>
                <w:rFonts w:hint="default"/>
                <w:color w:val="auto"/>
                <w:szCs w:val="21"/>
              </w:rPr>
            </w:pPr>
          </w:p>
        </w:tc>
      </w:tr>
      <w:tr w14:paraId="2935CBC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ACAE0DE">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526192D3">
            <w:pPr>
              <w:adjustRightInd w:val="0"/>
              <w:snapToGrid w:val="0"/>
              <w:spacing w:before="0" w:beforeAutospacing="0" w:after="0" w:afterAutospacing="0"/>
              <w:ind w:left="0" w:right="0"/>
              <w:jc w:val="left"/>
              <w:rPr>
                <w:rFonts w:hint="default"/>
                <w:color w:val="auto"/>
                <w:szCs w:val="21"/>
              </w:rPr>
            </w:pPr>
            <w:r>
              <w:rPr>
                <w:rFonts w:hint="eastAsia"/>
                <w:color w:val="auto"/>
              </w:rPr>
              <w:t>防火器材是否在有效期内</w:t>
            </w:r>
          </w:p>
        </w:tc>
        <w:tc>
          <w:tcPr>
            <w:tcW w:w="1060" w:type="dxa"/>
            <w:tcBorders>
              <w:top w:val="single" w:color="auto" w:sz="4" w:space="0"/>
              <w:left w:val="nil"/>
              <w:bottom w:val="single" w:color="auto" w:sz="4" w:space="0"/>
              <w:right w:val="single" w:color="auto" w:sz="4" w:space="0"/>
            </w:tcBorders>
            <w:noWrap w:val="0"/>
            <w:vAlign w:val="center"/>
          </w:tcPr>
          <w:p w14:paraId="48C548E6">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6093C697">
            <w:pPr>
              <w:adjustRightInd w:val="0"/>
              <w:snapToGrid w:val="0"/>
              <w:spacing w:before="0" w:beforeAutospacing="0" w:after="0" w:afterAutospacing="0"/>
              <w:ind w:left="0" w:right="0"/>
              <w:jc w:val="left"/>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2A237139">
            <w:pPr>
              <w:adjustRightInd w:val="0"/>
              <w:snapToGrid w:val="0"/>
              <w:spacing w:before="0" w:beforeAutospacing="0" w:after="0" w:afterAutospacing="0"/>
              <w:ind w:left="0" w:right="0"/>
              <w:jc w:val="left"/>
              <w:rPr>
                <w:rFonts w:hint="default"/>
                <w:color w:val="auto"/>
                <w:szCs w:val="21"/>
              </w:rPr>
            </w:pPr>
          </w:p>
        </w:tc>
      </w:tr>
      <w:tr w14:paraId="07F1FB7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9B9F720">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077C5075">
            <w:pPr>
              <w:adjustRightInd w:val="0"/>
              <w:snapToGrid w:val="0"/>
              <w:spacing w:before="0" w:beforeAutospacing="0" w:after="0" w:afterAutospacing="0"/>
              <w:ind w:left="0" w:right="0"/>
              <w:jc w:val="left"/>
              <w:rPr>
                <w:rFonts w:hint="default"/>
                <w:color w:val="auto"/>
                <w:szCs w:val="21"/>
              </w:rPr>
            </w:pPr>
            <w:r>
              <w:rPr>
                <w:rFonts w:hint="eastAsia"/>
                <w:color w:val="auto"/>
              </w:rPr>
              <w:t>站房内其他辅助设施（排风扇、空调、照明、工具箱）是否正常</w:t>
            </w:r>
          </w:p>
        </w:tc>
        <w:tc>
          <w:tcPr>
            <w:tcW w:w="1060" w:type="dxa"/>
            <w:tcBorders>
              <w:top w:val="single" w:color="auto" w:sz="4" w:space="0"/>
              <w:left w:val="nil"/>
              <w:bottom w:val="single" w:color="auto" w:sz="4" w:space="0"/>
              <w:right w:val="single" w:color="auto" w:sz="4" w:space="0"/>
            </w:tcBorders>
            <w:noWrap w:val="0"/>
            <w:vAlign w:val="center"/>
          </w:tcPr>
          <w:p w14:paraId="34FB057B">
            <w:pPr>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0DD36DE0">
            <w:pPr>
              <w:adjustRightInd w:val="0"/>
              <w:snapToGrid w:val="0"/>
              <w:spacing w:before="0" w:beforeAutospacing="0" w:after="0" w:afterAutospacing="0"/>
              <w:ind w:left="0" w:right="0"/>
              <w:jc w:val="left"/>
              <w:rPr>
                <w:rFonts w:hint="default"/>
                <w:color w:val="auto"/>
                <w:szCs w:val="21"/>
              </w:rPr>
            </w:pPr>
            <w:r>
              <w:rPr>
                <w:rFonts w:hint="eastAsia"/>
                <w:color w:val="auto"/>
              </w:rPr>
              <w:t>缺失一项扣</w:t>
            </w:r>
            <w:r>
              <w:rPr>
                <w:rFonts w:hint="eastAsia"/>
                <w:color w:val="auto"/>
                <w:lang w:val="en-US" w:eastAsia="zh-CN"/>
              </w:rPr>
              <w:t>1</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6D35893A">
            <w:pPr>
              <w:adjustRightInd w:val="0"/>
              <w:snapToGrid w:val="0"/>
              <w:spacing w:before="0" w:beforeAutospacing="0" w:after="0" w:afterAutospacing="0"/>
              <w:ind w:left="0" w:right="0"/>
              <w:jc w:val="left"/>
              <w:rPr>
                <w:rFonts w:hint="default"/>
                <w:color w:val="auto"/>
                <w:szCs w:val="21"/>
              </w:rPr>
            </w:pPr>
          </w:p>
        </w:tc>
      </w:tr>
      <w:tr w14:paraId="043786C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71E73B5">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526FDE93">
            <w:pPr>
              <w:adjustRightInd w:val="0"/>
              <w:snapToGrid w:val="0"/>
              <w:spacing w:before="0" w:beforeAutospacing="0" w:after="0" w:afterAutospacing="0"/>
              <w:ind w:left="0" w:right="0"/>
              <w:jc w:val="left"/>
              <w:rPr>
                <w:rFonts w:hint="default"/>
                <w:color w:val="auto"/>
                <w:szCs w:val="21"/>
              </w:rPr>
            </w:pPr>
            <w:r>
              <w:rPr>
                <w:rFonts w:hint="eastAsia"/>
                <w:color w:val="auto"/>
              </w:rPr>
              <w:t>站房内线路整洁及卫生情况</w:t>
            </w:r>
          </w:p>
        </w:tc>
        <w:tc>
          <w:tcPr>
            <w:tcW w:w="1060" w:type="dxa"/>
            <w:tcBorders>
              <w:top w:val="single" w:color="auto" w:sz="4" w:space="0"/>
              <w:left w:val="nil"/>
              <w:bottom w:val="single" w:color="auto" w:sz="4" w:space="0"/>
              <w:right w:val="single" w:color="auto" w:sz="4" w:space="0"/>
            </w:tcBorders>
            <w:noWrap w:val="0"/>
            <w:vAlign w:val="center"/>
          </w:tcPr>
          <w:p w14:paraId="6A0E1E91">
            <w:pPr>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15E3268B">
            <w:pPr>
              <w:adjustRightInd w:val="0"/>
              <w:snapToGrid w:val="0"/>
              <w:spacing w:before="0" w:beforeAutospacing="0" w:after="0" w:afterAutospacing="0"/>
              <w:ind w:left="0" w:right="0"/>
              <w:jc w:val="left"/>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44CE91E8">
            <w:pPr>
              <w:adjustRightInd w:val="0"/>
              <w:snapToGrid w:val="0"/>
              <w:spacing w:before="0" w:beforeAutospacing="0" w:after="0" w:afterAutospacing="0"/>
              <w:ind w:left="0" w:right="0"/>
              <w:jc w:val="left"/>
              <w:rPr>
                <w:rFonts w:hint="default"/>
                <w:color w:val="auto"/>
                <w:szCs w:val="21"/>
              </w:rPr>
            </w:pPr>
          </w:p>
        </w:tc>
      </w:tr>
      <w:tr w14:paraId="4738B42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943F948">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53BB23F3">
            <w:pPr>
              <w:adjustRightInd w:val="0"/>
              <w:snapToGrid w:val="0"/>
              <w:spacing w:before="0" w:beforeAutospacing="0" w:after="0" w:afterAutospacing="0"/>
              <w:ind w:left="0" w:right="0"/>
              <w:jc w:val="left"/>
              <w:rPr>
                <w:rFonts w:hint="default"/>
                <w:color w:val="auto"/>
                <w:szCs w:val="21"/>
              </w:rPr>
            </w:pPr>
            <w:r>
              <w:rPr>
                <w:rFonts w:hint="eastAsia"/>
                <w:color w:val="auto"/>
                <w:kern w:val="0"/>
              </w:rPr>
              <w:t>采样系统清洁程度（颗粒物采样头、采样总管、支管）</w:t>
            </w:r>
          </w:p>
        </w:tc>
        <w:tc>
          <w:tcPr>
            <w:tcW w:w="1060" w:type="dxa"/>
            <w:tcBorders>
              <w:top w:val="single" w:color="auto" w:sz="4" w:space="0"/>
              <w:left w:val="nil"/>
              <w:bottom w:val="single" w:color="auto" w:sz="4" w:space="0"/>
              <w:right w:val="single" w:color="auto" w:sz="4" w:space="0"/>
            </w:tcBorders>
            <w:noWrap w:val="0"/>
            <w:vAlign w:val="center"/>
          </w:tcPr>
          <w:p w14:paraId="6C97C686">
            <w:pPr>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1.5</w:t>
            </w:r>
          </w:p>
        </w:tc>
        <w:tc>
          <w:tcPr>
            <w:tcW w:w="1525" w:type="dxa"/>
            <w:tcBorders>
              <w:top w:val="single" w:color="auto" w:sz="4" w:space="0"/>
              <w:left w:val="nil"/>
              <w:bottom w:val="single" w:color="auto" w:sz="4" w:space="0"/>
              <w:right w:val="single" w:color="auto" w:sz="4" w:space="0"/>
            </w:tcBorders>
            <w:noWrap w:val="0"/>
            <w:vAlign w:val="center"/>
          </w:tcPr>
          <w:p w14:paraId="263BAB2E">
            <w:pPr>
              <w:adjustRightInd w:val="0"/>
              <w:snapToGrid w:val="0"/>
              <w:spacing w:before="0" w:beforeAutospacing="0" w:after="0" w:afterAutospacing="0"/>
              <w:ind w:left="0" w:right="0"/>
              <w:jc w:val="left"/>
              <w:rPr>
                <w:rFonts w:hint="default"/>
                <w:color w:val="auto"/>
                <w:szCs w:val="21"/>
              </w:rPr>
            </w:pPr>
            <w:r>
              <w:rPr>
                <w:rFonts w:hint="eastAsia"/>
                <w:color w:val="auto"/>
              </w:rPr>
              <w:t>有一项不清洁扣</w:t>
            </w:r>
            <w:r>
              <w:rPr>
                <w:rFonts w:hint="eastAsia"/>
                <w:color w:val="auto"/>
                <w:lang w:val="en-US" w:eastAsia="zh-CN"/>
              </w:rPr>
              <w:t>1.5</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5022EF2E">
            <w:pPr>
              <w:adjustRightInd w:val="0"/>
              <w:snapToGrid w:val="0"/>
              <w:spacing w:before="0" w:beforeAutospacing="0" w:after="0" w:afterAutospacing="0"/>
              <w:ind w:left="0" w:right="0"/>
              <w:jc w:val="left"/>
              <w:rPr>
                <w:rFonts w:hint="default"/>
                <w:color w:val="auto"/>
                <w:szCs w:val="21"/>
              </w:rPr>
            </w:pPr>
          </w:p>
        </w:tc>
      </w:tr>
      <w:tr w14:paraId="7DA4B67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A765115">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1145B40C">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采样风机是否正常工作</w:t>
            </w:r>
          </w:p>
        </w:tc>
        <w:tc>
          <w:tcPr>
            <w:tcW w:w="1060" w:type="dxa"/>
            <w:tcBorders>
              <w:top w:val="single" w:color="auto" w:sz="4" w:space="0"/>
              <w:left w:val="nil"/>
              <w:bottom w:val="single" w:color="auto" w:sz="4" w:space="0"/>
              <w:right w:val="single" w:color="auto" w:sz="4" w:space="0"/>
            </w:tcBorders>
            <w:noWrap w:val="0"/>
            <w:vAlign w:val="center"/>
          </w:tcPr>
          <w:p w14:paraId="3832B82D">
            <w:pPr>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kern w:val="0"/>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2CFCE15E">
            <w:pPr>
              <w:adjustRightInd w:val="0"/>
              <w:snapToGrid w:val="0"/>
              <w:spacing w:before="0" w:beforeAutospacing="0" w:after="0" w:afterAutospacing="0"/>
              <w:ind w:left="0" w:right="0"/>
              <w:jc w:val="left"/>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6AA55D7B">
            <w:pPr>
              <w:adjustRightInd w:val="0"/>
              <w:snapToGrid w:val="0"/>
              <w:spacing w:before="0" w:beforeAutospacing="0" w:after="0" w:afterAutospacing="0"/>
              <w:ind w:left="0" w:right="0"/>
              <w:jc w:val="left"/>
              <w:rPr>
                <w:rFonts w:hint="default"/>
                <w:color w:val="auto"/>
                <w:szCs w:val="21"/>
              </w:rPr>
            </w:pPr>
          </w:p>
        </w:tc>
      </w:tr>
      <w:tr w14:paraId="1B3BE89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FF3135C">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39F115EF">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气态污染物采样总管加热温度是否在</w:t>
            </w:r>
            <w:r>
              <w:rPr>
                <w:rFonts w:hint="default"/>
                <w:color w:val="auto"/>
                <w:kern w:val="0"/>
              </w:rPr>
              <w:softHyphen/>
            </w:r>
            <w:r>
              <w:rPr>
                <w:rFonts w:hint="default"/>
                <w:color w:val="auto"/>
                <w:kern w:val="0"/>
              </w:rPr>
              <w:softHyphen/>
            </w:r>
            <w:r>
              <w:rPr>
                <w:rFonts w:hint="default"/>
                <w:color w:val="auto"/>
                <w:kern w:val="0"/>
              </w:rPr>
              <w:t>30</w:t>
            </w:r>
            <w:r>
              <w:rPr>
                <w:rFonts w:hint="eastAsia" w:ascii="宋体" w:hAnsi="宋体"/>
                <w:color w:val="auto"/>
                <w:kern w:val="0"/>
              </w:rPr>
              <w:t>～</w:t>
            </w:r>
            <w:r>
              <w:rPr>
                <w:rFonts w:hint="default"/>
                <w:color w:val="auto"/>
                <w:kern w:val="0"/>
              </w:rPr>
              <w:t>50</w:t>
            </w:r>
            <w:r>
              <w:rPr>
                <w:rFonts w:hint="eastAsia" w:ascii="宋体" w:hAnsi="宋体"/>
                <w:color w:val="auto"/>
                <w:kern w:val="0"/>
              </w:rPr>
              <w:t>℃</w:t>
            </w:r>
            <w:r>
              <w:rPr>
                <w:rFonts w:hint="eastAsia"/>
                <w:color w:val="auto"/>
                <w:kern w:val="0"/>
              </w:rPr>
              <w:t>，是否避免被空调直吹</w:t>
            </w:r>
          </w:p>
        </w:tc>
        <w:tc>
          <w:tcPr>
            <w:tcW w:w="1060" w:type="dxa"/>
            <w:tcBorders>
              <w:top w:val="single" w:color="auto" w:sz="4" w:space="0"/>
              <w:left w:val="nil"/>
              <w:bottom w:val="single" w:color="auto" w:sz="4" w:space="0"/>
              <w:right w:val="single" w:color="auto" w:sz="4" w:space="0"/>
            </w:tcBorders>
            <w:noWrap w:val="0"/>
            <w:vAlign w:val="center"/>
          </w:tcPr>
          <w:p w14:paraId="146F6160">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lang w:val="en-US" w:eastAsia="zh-CN"/>
              </w:rPr>
              <w:t>1.5</w:t>
            </w:r>
          </w:p>
        </w:tc>
        <w:tc>
          <w:tcPr>
            <w:tcW w:w="1525" w:type="dxa"/>
            <w:tcBorders>
              <w:top w:val="single" w:color="auto" w:sz="4" w:space="0"/>
              <w:left w:val="nil"/>
              <w:bottom w:val="single" w:color="auto" w:sz="4" w:space="0"/>
              <w:right w:val="single" w:color="auto" w:sz="4" w:space="0"/>
            </w:tcBorders>
            <w:noWrap w:val="0"/>
            <w:vAlign w:val="center"/>
          </w:tcPr>
          <w:p w14:paraId="5CE86D0B">
            <w:pPr>
              <w:adjustRightInd w:val="0"/>
              <w:snapToGrid w:val="0"/>
              <w:spacing w:before="0" w:beforeAutospacing="0" w:after="0" w:afterAutospacing="0"/>
              <w:ind w:left="0" w:right="0"/>
              <w:jc w:val="left"/>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4AB588D7">
            <w:pPr>
              <w:adjustRightInd w:val="0"/>
              <w:snapToGrid w:val="0"/>
              <w:spacing w:before="0" w:beforeAutospacing="0" w:after="0" w:afterAutospacing="0"/>
              <w:ind w:left="0" w:right="0"/>
              <w:jc w:val="left"/>
              <w:rPr>
                <w:rFonts w:hint="default"/>
                <w:color w:val="auto"/>
                <w:szCs w:val="21"/>
              </w:rPr>
            </w:pPr>
          </w:p>
        </w:tc>
      </w:tr>
      <w:tr w14:paraId="1C47206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7FB9AA7">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3C41BAD7">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各通道参数（斜率、截距、量程等）的设置是否正确</w:t>
            </w:r>
          </w:p>
        </w:tc>
        <w:tc>
          <w:tcPr>
            <w:tcW w:w="1060" w:type="dxa"/>
            <w:tcBorders>
              <w:top w:val="single" w:color="auto" w:sz="4" w:space="0"/>
              <w:left w:val="nil"/>
              <w:bottom w:val="single" w:color="auto" w:sz="4" w:space="0"/>
              <w:right w:val="single" w:color="auto" w:sz="4" w:space="0"/>
            </w:tcBorders>
            <w:noWrap w:val="0"/>
            <w:vAlign w:val="center"/>
          </w:tcPr>
          <w:p w14:paraId="46D0032F">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2</w:t>
            </w:r>
          </w:p>
        </w:tc>
        <w:tc>
          <w:tcPr>
            <w:tcW w:w="1525" w:type="dxa"/>
            <w:tcBorders>
              <w:top w:val="single" w:color="auto" w:sz="4" w:space="0"/>
              <w:left w:val="nil"/>
              <w:bottom w:val="single" w:color="auto" w:sz="4" w:space="0"/>
              <w:right w:val="single" w:color="auto" w:sz="4" w:space="0"/>
            </w:tcBorders>
            <w:noWrap w:val="0"/>
            <w:vAlign w:val="center"/>
          </w:tcPr>
          <w:p w14:paraId="0C6616A3">
            <w:pPr>
              <w:adjustRightInd w:val="0"/>
              <w:snapToGrid w:val="0"/>
              <w:spacing w:before="0" w:beforeAutospacing="0" w:after="0" w:afterAutospacing="0"/>
              <w:ind w:left="0" w:right="0"/>
              <w:jc w:val="left"/>
              <w:rPr>
                <w:rFonts w:hint="default"/>
                <w:color w:val="auto"/>
                <w:szCs w:val="21"/>
              </w:rPr>
            </w:pPr>
            <w:r>
              <w:rPr>
                <w:rFonts w:hint="eastAsia"/>
                <w:color w:val="auto"/>
              </w:rPr>
              <w:t>有一项设置不正确扣</w:t>
            </w:r>
            <w:r>
              <w:rPr>
                <w:rFonts w:hint="default"/>
                <w:color w:val="auto"/>
              </w:rPr>
              <w:t>2</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224D51BB">
            <w:pPr>
              <w:adjustRightInd w:val="0"/>
              <w:snapToGrid w:val="0"/>
              <w:spacing w:before="0" w:beforeAutospacing="0" w:after="0" w:afterAutospacing="0"/>
              <w:ind w:left="0" w:right="0"/>
              <w:jc w:val="left"/>
              <w:rPr>
                <w:rFonts w:hint="default"/>
                <w:color w:val="auto"/>
                <w:szCs w:val="21"/>
              </w:rPr>
            </w:pPr>
          </w:p>
        </w:tc>
      </w:tr>
      <w:tr w14:paraId="7185E2FA">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7B40D393">
            <w:pPr>
              <w:adjustRightInd w:val="0"/>
              <w:snapToGrid w:val="0"/>
              <w:spacing w:before="0" w:beforeAutospacing="0" w:after="0" w:afterAutospacing="0"/>
              <w:ind w:left="0" w:right="0"/>
              <w:jc w:val="center"/>
              <w:rPr>
                <w:rFonts w:hint="default"/>
                <w:b/>
                <w:bCs/>
                <w:color w:val="auto"/>
                <w:szCs w:val="21"/>
              </w:rPr>
            </w:pPr>
            <w:r>
              <w:rPr>
                <w:rFonts w:hint="default"/>
                <w:b/>
                <w:bCs/>
                <w:color w:val="auto"/>
              </w:rPr>
              <w:t>2.</w:t>
            </w:r>
            <w:r>
              <w:rPr>
                <w:rFonts w:hint="eastAsia" w:ascii="宋体" w:hAnsi="宋体"/>
                <w:b/>
                <w:bCs/>
                <w:color w:val="auto"/>
              </w:rPr>
              <w:t>仪器性能测试</w:t>
            </w:r>
          </w:p>
          <w:p w14:paraId="5EF57767">
            <w:pPr>
              <w:adjustRightInd w:val="0"/>
              <w:snapToGrid w:val="0"/>
              <w:spacing w:before="0" w:beforeAutospacing="0" w:after="0" w:afterAutospacing="0"/>
              <w:ind w:left="0" w:right="0"/>
              <w:jc w:val="center"/>
              <w:rPr>
                <w:rFonts w:hint="default"/>
                <w:b/>
                <w:bCs/>
                <w:color w:val="auto"/>
                <w:szCs w:val="21"/>
              </w:rPr>
            </w:pPr>
            <w:r>
              <w:rPr>
                <w:rFonts w:hint="eastAsia"/>
                <w:b/>
                <w:bCs/>
                <w:color w:val="auto"/>
              </w:rPr>
              <w:t>（</w:t>
            </w:r>
            <w:r>
              <w:rPr>
                <w:rFonts w:hint="eastAsia"/>
                <w:b/>
                <w:bCs/>
                <w:color w:val="auto"/>
                <w:lang w:val="en-US" w:eastAsia="zh-CN"/>
              </w:rPr>
              <w:t>22.5</w:t>
            </w:r>
            <w:r>
              <w:rPr>
                <w:rFonts w:hint="eastAsia" w:ascii="宋体" w:hAnsi="宋体"/>
                <w:b/>
                <w:bCs/>
                <w:color w:val="auto"/>
              </w:rPr>
              <w:t>分）</w:t>
            </w:r>
          </w:p>
        </w:tc>
        <w:tc>
          <w:tcPr>
            <w:tcW w:w="5400" w:type="dxa"/>
            <w:tcBorders>
              <w:top w:val="single" w:color="auto" w:sz="4" w:space="0"/>
              <w:left w:val="nil"/>
              <w:bottom w:val="single" w:color="auto" w:sz="4" w:space="0"/>
              <w:right w:val="single" w:color="auto" w:sz="4" w:space="0"/>
            </w:tcBorders>
            <w:noWrap w:val="0"/>
            <w:vAlign w:val="center"/>
          </w:tcPr>
          <w:p w14:paraId="71D755EB">
            <w:pPr>
              <w:adjustRightInd w:val="0"/>
              <w:snapToGrid w:val="0"/>
              <w:spacing w:before="0" w:beforeAutospacing="0" w:after="0" w:afterAutospacing="0"/>
              <w:ind w:left="0" w:right="0"/>
              <w:jc w:val="left"/>
              <w:rPr>
                <w:rFonts w:hint="default"/>
                <w:color w:val="auto"/>
                <w:kern w:val="0"/>
                <w:szCs w:val="21"/>
              </w:rPr>
            </w:pPr>
            <w:r>
              <w:rPr>
                <w:rFonts w:hint="eastAsia"/>
                <w:color w:val="auto"/>
              </w:rPr>
              <w:t>仪器是否出现除停电重启外的其他报警信息</w:t>
            </w:r>
          </w:p>
        </w:tc>
        <w:tc>
          <w:tcPr>
            <w:tcW w:w="1060" w:type="dxa"/>
            <w:tcBorders>
              <w:top w:val="single" w:color="auto" w:sz="4" w:space="0"/>
              <w:left w:val="nil"/>
              <w:bottom w:val="single" w:color="auto" w:sz="4" w:space="0"/>
              <w:right w:val="single" w:color="auto" w:sz="4" w:space="0"/>
            </w:tcBorders>
            <w:noWrap w:val="0"/>
            <w:vAlign w:val="center"/>
          </w:tcPr>
          <w:p w14:paraId="56045B57">
            <w:pPr>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lang w:val="en-US" w:eastAsia="zh-CN"/>
              </w:rPr>
              <w:t>1.5</w:t>
            </w:r>
          </w:p>
        </w:tc>
        <w:tc>
          <w:tcPr>
            <w:tcW w:w="1525" w:type="dxa"/>
            <w:tcBorders>
              <w:top w:val="single" w:color="auto" w:sz="4" w:space="0"/>
              <w:left w:val="nil"/>
              <w:bottom w:val="single" w:color="auto" w:sz="4" w:space="0"/>
              <w:right w:val="single" w:color="auto" w:sz="4" w:space="0"/>
            </w:tcBorders>
            <w:noWrap w:val="0"/>
            <w:vAlign w:val="center"/>
          </w:tcPr>
          <w:p w14:paraId="6F4C4081">
            <w:pPr>
              <w:adjustRightInd w:val="0"/>
              <w:snapToGrid w:val="0"/>
              <w:spacing w:before="0" w:beforeAutospacing="0" w:after="0" w:afterAutospacing="0"/>
              <w:ind w:left="0" w:right="0"/>
              <w:jc w:val="left"/>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2D4397D2">
            <w:pPr>
              <w:adjustRightInd w:val="0"/>
              <w:snapToGrid w:val="0"/>
              <w:spacing w:before="0" w:beforeAutospacing="0" w:after="0" w:afterAutospacing="0"/>
              <w:ind w:left="0" w:right="0"/>
              <w:jc w:val="left"/>
              <w:rPr>
                <w:rFonts w:hint="default"/>
                <w:color w:val="auto"/>
                <w:szCs w:val="21"/>
              </w:rPr>
            </w:pPr>
          </w:p>
        </w:tc>
      </w:tr>
      <w:tr w14:paraId="77EDC2E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2275FBB">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0C3748AB">
            <w:pPr>
              <w:adjustRightInd w:val="0"/>
              <w:snapToGrid w:val="0"/>
              <w:spacing w:before="0" w:beforeAutospacing="0" w:after="0" w:afterAutospacing="0"/>
              <w:ind w:left="0" w:right="0"/>
              <w:jc w:val="left"/>
              <w:rPr>
                <w:rFonts w:hint="default"/>
                <w:color w:val="auto"/>
                <w:szCs w:val="21"/>
              </w:rPr>
            </w:pPr>
            <w:r>
              <w:rPr>
                <w:rFonts w:hint="eastAsia"/>
                <w:color w:val="auto"/>
              </w:rPr>
              <w:t>更换的备品备件是否是原厂</w:t>
            </w:r>
          </w:p>
        </w:tc>
        <w:tc>
          <w:tcPr>
            <w:tcW w:w="1060" w:type="dxa"/>
            <w:tcBorders>
              <w:top w:val="single" w:color="auto" w:sz="4" w:space="0"/>
              <w:left w:val="nil"/>
              <w:bottom w:val="single" w:color="auto" w:sz="4" w:space="0"/>
              <w:right w:val="single" w:color="auto" w:sz="4" w:space="0"/>
            </w:tcBorders>
            <w:noWrap w:val="0"/>
            <w:vAlign w:val="center"/>
          </w:tcPr>
          <w:p w14:paraId="63F7FB8A">
            <w:pPr>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19DE1BD1">
            <w:pPr>
              <w:adjustRightInd w:val="0"/>
              <w:snapToGrid w:val="0"/>
              <w:spacing w:before="0" w:beforeAutospacing="0" w:after="0" w:afterAutospacing="0"/>
              <w:ind w:left="0" w:right="0"/>
              <w:jc w:val="left"/>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015B55B9">
            <w:pPr>
              <w:adjustRightInd w:val="0"/>
              <w:snapToGrid w:val="0"/>
              <w:spacing w:before="0" w:beforeAutospacing="0" w:after="0" w:afterAutospacing="0"/>
              <w:ind w:left="0" w:right="0"/>
              <w:jc w:val="left"/>
              <w:rPr>
                <w:rFonts w:hint="default"/>
                <w:color w:val="auto"/>
                <w:szCs w:val="21"/>
              </w:rPr>
            </w:pPr>
          </w:p>
        </w:tc>
      </w:tr>
      <w:tr w14:paraId="350D7A8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BDF8AF8">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6CB7F5B7">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动态校准仪质量流量控制器（</w:t>
            </w:r>
            <w:r>
              <w:rPr>
                <w:rFonts w:hint="default"/>
                <w:color w:val="auto"/>
                <w:kern w:val="0"/>
              </w:rPr>
              <w:t>MFC</w:t>
            </w:r>
            <w:r>
              <w:rPr>
                <w:rFonts w:hint="eastAsia" w:ascii="宋体" w:hAnsi="宋体"/>
                <w:color w:val="auto"/>
                <w:kern w:val="0"/>
              </w:rPr>
              <w:t>）单点流量测试：标准温度：</w:t>
            </w:r>
            <w:r>
              <w:rPr>
                <w:rFonts w:hint="default"/>
                <w:color w:val="auto"/>
                <w:kern w:val="0"/>
              </w:rPr>
              <w:t>________</w:t>
            </w:r>
            <w:r>
              <w:rPr>
                <w:rFonts w:hint="eastAsia" w:ascii="宋体" w:hAnsi="宋体"/>
                <w:color w:val="auto"/>
                <w:kern w:val="0"/>
              </w:rPr>
              <w:t>标准气压</w:t>
            </w:r>
            <w:r>
              <w:rPr>
                <w:rFonts w:hint="default"/>
                <w:color w:val="auto"/>
                <w:kern w:val="0"/>
              </w:rPr>
              <w:t>__________</w:t>
            </w:r>
          </w:p>
          <w:p w14:paraId="49613760">
            <w:pPr>
              <w:adjustRightInd w:val="0"/>
              <w:snapToGrid w:val="0"/>
              <w:spacing w:before="0" w:beforeAutospacing="0" w:after="0" w:afterAutospacing="0"/>
              <w:ind w:left="0" w:right="0"/>
              <w:jc w:val="left"/>
              <w:rPr>
                <w:rFonts w:hint="default"/>
                <w:color w:val="auto"/>
                <w:kern w:val="0"/>
                <w:u w:val="single"/>
              </w:rPr>
            </w:pPr>
            <w:r>
              <w:rPr>
                <w:rFonts w:hint="eastAsia"/>
                <w:color w:val="auto"/>
                <w:kern w:val="0"/>
              </w:rPr>
              <w:t>零气</w:t>
            </w:r>
            <w:r>
              <w:rPr>
                <w:rFonts w:hint="default"/>
                <w:color w:val="auto"/>
                <w:kern w:val="0"/>
              </w:rPr>
              <w:t>MFC</w:t>
            </w:r>
            <w:r>
              <w:rPr>
                <w:rFonts w:hint="eastAsia"/>
                <w:color w:val="auto"/>
                <w:kern w:val="0"/>
              </w:rPr>
              <w:t>流量：</w:t>
            </w:r>
            <w:r>
              <w:rPr>
                <w:rFonts w:hint="default"/>
                <w:color w:val="auto"/>
                <w:kern w:val="0"/>
                <w:u w:val="single"/>
              </w:rPr>
              <w:t xml:space="preserve">   </w:t>
            </w:r>
            <w:r>
              <w:rPr>
                <w:rFonts w:hint="default"/>
                <w:color w:val="auto"/>
                <w:kern w:val="0"/>
              </w:rPr>
              <w:t>L/min,</w:t>
            </w:r>
            <w:r>
              <w:rPr>
                <w:rFonts w:hint="eastAsia"/>
                <w:color w:val="auto"/>
                <w:kern w:val="0"/>
              </w:rPr>
              <w:t>标准流量计测值：</w:t>
            </w:r>
            <w:r>
              <w:rPr>
                <w:rFonts w:hint="default"/>
                <w:color w:val="auto"/>
                <w:kern w:val="0"/>
                <w:u w:val="single"/>
              </w:rPr>
              <w:t xml:space="preserve">       </w:t>
            </w:r>
            <w:r>
              <w:rPr>
                <w:rFonts w:hint="default"/>
                <w:color w:val="auto"/>
                <w:kern w:val="0"/>
              </w:rPr>
              <w:t>L/min</w:t>
            </w:r>
            <w:r>
              <w:rPr>
                <w:rFonts w:hint="eastAsia" w:ascii="宋体" w:hAnsi="宋体"/>
                <w:color w:val="auto"/>
                <w:kern w:val="0"/>
              </w:rPr>
              <w:t>，相对误差</w:t>
            </w:r>
            <w:r>
              <w:rPr>
                <w:rFonts w:hint="default"/>
                <w:color w:val="auto"/>
                <w:kern w:val="0"/>
                <w:u w:val="single"/>
              </w:rPr>
              <w:t xml:space="preserve">    %</w:t>
            </w:r>
            <w:r>
              <w:rPr>
                <w:rFonts w:hint="eastAsia"/>
                <w:color w:val="auto"/>
                <w:kern w:val="0"/>
              </w:rPr>
              <w:t>（</w:t>
            </w:r>
            <w:r>
              <w:rPr>
                <w:rFonts w:hint="default"/>
                <w:color w:val="auto"/>
                <w:kern w:val="0"/>
              </w:rPr>
              <w:t>≤±2%</w:t>
            </w:r>
            <w:r>
              <w:rPr>
                <w:rFonts w:hint="eastAsia" w:ascii="宋体" w:hAnsi="宋体"/>
                <w:color w:val="auto"/>
                <w:kern w:val="0"/>
              </w:rPr>
              <w:t>）</w:t>
            </w:r>
          </w:p>
          <w:p w14:paraId="384DBE89">
            <w:pPr>
              <w:adjustRightInd w:val="0"/>
              <w:snapToGrid w:val="0"/>
              <w:spacing w:before="0" w:beforeAutospacing="0" w:after="0" w:afterAutospacing="0"/>
              <w:ind w:left="0" w:right="0"/>
              <w:jc w:val="left"/>
              <w:rPr>
                <w:rFonts w:hint="default"/>
                <w:color w:val="auto"/>
                <w:kern w:val="0"/>
                <w:szCs w:val="21"/>
                <w:u w:val="single"/>
              </w:rPr>
            </w:pPr>
            <w:r>
              <w:rPr>
                <w:rFonts w:hint="eastAsia"/>
                <w:color w:val="auto"/>
                <w:kern w:val="0"/>
              </w:rPr>
              <w:t>标气</w:t>
            </w:r>
            <w:r>
              <w:rPr>
                <w:rFonts w:hint="default"/>
                <w:color w:val="auto"/>
                <w:kern w:val="0"/>
              </w:rPr>
              <w:t>MFC</w:t>
            </w:r>
            <w:r>
              <w:rPr>
                <w:rFonts w:hint="eastAsia" w:ascii="宋体" w:hAnsi="宋体"/>
                <w:color w:val="auto"/>
                <w:kern w:val="0"/>
              </w:rPr>
              <w:t>流量：</w:t>
            </w:r>
            <w:r>
              <w:rPr>
                <w:rFonts w:hint="default"/>
                <w:color w:val="auto"/>
                <w:kern w:val="0"/>
                <w:u w:val="single"/>
              </w:rPr>
              <w:t xml:space="preserve">   </w:t>
            </w:r>
            <w:r>
              <w:rPr>
                <w:rFonts w:hint="default"/>
                <w:color w:val="auto"/>
                <w:kern w:val="0"/>
              </w:rPr>
              <w:t>mL/min,</w:t>
            </w:r>
            <w:r>
              <w:rPr>
                <w:rFonts w:hint="eastAsia" w:ascii="宋体" w:hAnsi="宋体"/>
                <w:color w:val="auto"/>
                <w:kern w:val="0"/>
              </w:rPr>
              <w:t>标准流量计测值：</w:t>
            </w:r>
            <w:r>
              <w:rPr>
                <w:rFonts w:hint="default"/>
                <w:color w:val="auto"/>
                <w:kern w:val="0"/>
                <w:u w:val="single"/>
              </w:rPr>
              <w:t xml:space="preserve">      </w:t>
            </w:r>
            <w:r>
              <w:rPr>
                <w:rFonts w:hint="default"/>
                <w:color w:val="auto"/>
                <w:kern w:val="0"/>
              </w:rPr>
              <w:t>mL/min</w:t>
            </w:r>
            <w:r>
              <w:rPr>
                <w:rFonts w:hint="eastAsia" w:ascii="宋体" w:hAnsi="宋体"/>
                <w:color w:val="auto"/>
                <w:kern w:val="0"/>
              </w:rPr>
              <w:t>，相对误差</w:t>
            </w:r>
            <w:r>
              <w:rPr>
                <w:rFonts w:hint="default"/>
                <w:color w:val="auto"/>
                <w:kern w:val="0"/>
                <w:u w:val="single"/>
              </w:rPr>
              <w:t xml:space="preserve">    %</w:t>
            </w:r>
            <w:r>
              <w:rPr>
                <w:rFonts w:hint="eastAsia"/>
                <w:color w:val="auto"/>
                <w:kern w:val="0"/>
              </w:rPr>
              <w:t>（</w:t>
            </w:r>
            <w:r>
              <w:rPr>
                <w:rFonts w:hint="default"/>
                <w:color w:val="auto"/>
                <w:kern w:val="0"/>
              </w:rPr>
              <w:t>≤±2%</w:t>
            </w:r>
            <w:r>
              <w:rPr>
                <w:rFonts w:hint="eastAsia" w:ascii="宋体" w:hAnsi="宋体"/>
                <w:color w:val="auto"/>
                <w:kern w:val="0"/>
              </w:rPr>
              <w:t>）</w:t>
            </w:r>
          </w:p>
        </w:tc>
        <w:tc>
          <w:tcPr>
            <w:tcW w:w="1060" w:type="dxa"/>
            <w:tcBorders>
              <w:top w:val="single" w:color="auto" w:sz="4" w:space="0"/>
              <w:left w:val="nil"/>
              <w:bottom w:val="single" w:color="auto" w:sz="4" w:space="0"/>
              <w:right w:val="single" w:color="auto" w:sz="4" w:space="0"/>
            </w:tcBorders>
            <w:noWrap w:val="0"/>
            <w:vAlign w:val="center"/>
          </w:tcPr>
          <w:p w14:paraId="741E66C2">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3</w:t>
            </w:r>
          </w:p>
        </w:tc>
        <w:tc>
          <w:tcPr>
            <w:tcW w:w="1525" w:type="dxa"/>
            <w:tcBorders>
              <w:top w:val="single" w:color="auto" w:sz="4" w:space="0"/>
              <w:left w:val="nil"/>
              <w:bottom w:val="single" w:color="auto" w:sz="4" w:space="0"/>
              <w:right w:val="single" w:color="auto" w:sz="4" w:space="0"/>
            </w:tcBorders>
            <w:noWrap w:val="0"/>
            <w:vAlign w:val="center"/>
          </w:tcPr>
          <w:p w14:paraId="09F3798A">
            <w:pPr>
              <w:snapToGrid w:val="0"/>
              <w:spacing w:before="0" w:beforeAutospacing="0" w:after="0" w:afterAutospacing="0"/>
              <w:ind w:left="0" w:right="0"/>
              <w:rPr>
                <w:rFonts w:hint="default"/>
                <w:color w:val="auto"/>
                <w:szCs w:val="21"/>
              </w:rPr>
            </w:pPr>
            <w:r>
              <w:rPr>
                <w:rFonts w:hint="eastAsia"/>
                <w:color w:val="auto"/>
              </w:rPr>
              <w:t>每项</w:t>
            </w:r>
            <w:r>
              <w:rPr>
                <w:rFonts w:hint="eastAsia"/>
                <w:color w:val="auto"/>
                <w:lang w:val="en-US" w:eastAsia="zh-CN"/>
              </w:rPr>
              <w:t>3</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5C87C0B1">
            <w:pPr>
              <w:adjustRightInd w:val="0"/>
              <w:snapToGrid w:val="0"/>
              <w:spacing w:before="0" w:beforeAutospacing="0" w:after="0" w:afterAutospacing="0"/>
              <w:ind w:left="0" w:right="0"/>
              <w:jc w:val="center"/>
              <w:rPr>
                <w:rFonts w:hint="default"/>
                <w:color w:val="auto"/>
                <w:szCs w:val="21"/>
              </w:rPr>
            </w:pPr>
          </w:p>
        </w:tc>
      </w:tr>
      <w:tr w14:paraId="6520E6AD">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00E1F1A0">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5F3250F6">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气态污染物采样流量测试：</w:t>
            </w:r>
          </w:p>
          <w:p w14:paraId="3D0F73CB">
            <w:pPr>
              <w:adjustRightInd w:val="0"/>
              <w:snapToGrid w:val="0"/>
              <w:spacing w:before="0" w:beforeAutospacing="0" w:after="0" w:afterAutospacing="0"/>
              <w:ind w:left="0" w:right="0"/>
              <w:jc w:val="left"/>
              <w:rPr>
                <w:rFonts w:hint="default"/>
                <w:color w:val="auto"/>
                <w:kern w:val="0"/>
                <w:u w:val="single"/>
              </w:rPr>
            </w:pPr>
            <w:r>
              <w:rPr>
                <w:rFonts w:hint="default"/>
                <w:color w:val="auto"/>
                <w:kern w:val="0"/>
              </w:rPr>
              <w:t>SO</w:t>
            </w:r>
            <w:r>
              <w:rPr>
                <w:rFonts w:hint="default"/>
                <w:color w:val="auto"/>
                <w:kern w:val="0"/>
                <w:vertAlign w:val="subscript"/>
              </w:rPr>
              <w:t>2</w:t>
            </w:r>
            <w:r>
              <w:rPr>
                <w:rFonts w:hint="eastAsia"/>
                <w:color w:val="auto"/>
                <w:kern w:val="0"/>
              </w:rPr>
              <w:t>显示流量：</w:t>
            </w:r>
            <w:r>
              <w:rPr>
                <w:rFonts w:hint="default"/>
                <w:color w:val="auto"/>
                <w:kern w:val="0"/>
                <w:u w:val="single"/>
              </w:rPr>
              <w:t xml:space="preserve">          </w:t>
            </w:r>
            <w:r>
              <w:rPr>
                <w:rFonts w:hint="default"/>
                <w:color w:val="auto"/>
                <w:kern w:val="0"/>
              </w:rPr>
              <w:t>L/min</w:t>
            </w:r>
            <w:r>
              <w:rPr>
                <w:rFonts w:hint="eastAsia" w:ascii="宋体" w:hAnsi="宋体"/>
                <w:color w:val="auto"/>
                <w:kern w:val="0"/>
              </w:rPr>
              <w:t>，流量计测值：</w:t>
            </w:r>
            <w:r>
              <w:rPr>
                <w:rFonts w:hint="default"/>
                <w:color w:val="auto"/>
                <w:kern w:val="0"/>
                <w:u w:val="single"/>
              </w:rPr>
              <w:t xml:space="preserve">         </w:t>
            </w:r>
            <w:r>
              <w:rPr>
                <w:rFonts w:hint="default"/>
                <w:color w:val="auto"/>
                <w:kern w:val="0"/>
              </w:rPr>
              <w:t>L/min</w:t>
            </w:r>
            <w:r>
              <w:rPr>
                <w:rFonts w:hint="eastAsia" w:ascii="宋体" w:hAnsi="宋体"/>
                <w:color w:val="auto"/>
                <w:kern w:val="0"/>
              </w:rPr>
              <w:t>，相对误差</w:t>
            </w:r>
            <w:r>
              <w:rPr>
                <w:rFonts w:hint="default"/>
                <w:color w:val="auto"/>
                <w:kern w:val="0"/>
                <w:u w:val="single"/>
              </w:rPr>
              <w:t xml:space="preserve">       </w:t>
            </w:r>
            <w:r>
              <w:rPr>
                <w:rFonts w:hint="default"/>
                <w:color w:val="auto"/>
                <w:kern w:val="0"/>
              </w:rPr>
              <w:t>%</w:t>
            </w:r>
            <w:r>
              <w:rPr>
                <w:rFonts w:hint="eastAsia" w:ascii="宋体" w:hAnsi="宋体"/>
                <w:color w:val="auto"/>
                <w:kern w:val="0"/>
              </w:rPr>
              <w:t>（</w:t>
            </w:r>
            <w:r>
              <w:rPr>
                <w:rFonts w:hint="default"/>
                <w:color w:val="auto"/>
                <w:kern w:val="0"/>
              </w:rPr>
              <w:t>≤±10%</w:t>
            </w:r>
            <w:r>
              <w:rPr>
                <w:rFonts w:hint="eastAsia" w:ascii="宋体" w:hAnsi="宋体"/>
                <w:color w:val="auto"/>
                <w:kern w:val="0"/>
              </w:rPr>
              <w:t>）；</w:t>
            </w:r>
          </w:p>
          <w:p w14:paraId="304B002B">
            <w:pPr>
              <w:adjustRightInd w:val="0"/>
              <w:snapToGrid w:val="0"/>
              <w:spacing w:before="0" w:beforeAutospacing="0" w:after="0" w:afterAutospacing="0"/>
              <w:ind w:left="0" w:right="0"/>
              <w:jc w:val="left"/>
              <w:rPr>
                <w:rFonts w:hint="default"/>
                <w:color w:val="auto"/>
                <w:kern w:val="0"/>
                <w:u w:val="single"/>
              </w:rPr>
            </w:pPr>
            <w:r>
              <w:rPr>
                <w:rFonts w:hint="default"/>
                <w:color w:val="auto"/>
                <w:kern w:val="0"/>
              </w:rPr>
              <w:t>NO</w:t>
            </w:r>
            <w:r>
              <w:rPr>
                <w:rFonts w:hint="default"/>
                <w:color w:val="auto"/>
                <w:kern w:val="0"/>
                <w:vertAlign w:val="subscript"/>
              </w:rPr>
              <w:t>x</w:t>
            </w:r>
            <w:r>
              <w:rPr>
                <w:rFonts w:hint="eastAsia"/>
                <w:color w:val="auto"/>
                <w:kern w:val="0"/>
              </w:rPr>
              <w:t>显示流量：</w:t>
            </w:r>
            <w:r>
              <w:rPr>
                <w:rFonts w:hint="default"/>
                <w:color w:val="auto"/>
                <w:kern w:val="0"/>
                <w:u w:val="single"/>
              </w:rPr>
              <w:t xml:space="preserve">         </w:t>
            </w:r>
            <w:r>
              <w:rPr>
                <w:rFonts w:hint="default"/>
                <w:color w:val="auto"/>
                <w:kern w:val="0"/>
              </w:rPr>
              <w:t>L/min</w:t>
            </w:r>
            <w:r>
              <w:rPr>
                <w:rFonts w:hint="eastAsia" w:ascii="宋体" w:hAnsi="宋体"/>
                <w:color w:val="auto"/>
                <w:kern w:val="0"/>
              </w:rPr>
              <w:t>，流量计测值：</w:t>
            </w:r>
            <w:r>
              <w:rPr>
                <w:rFonts w:hint="default"/>
                <w:color w:val="auto"/>
                <w:kern w:val="0"/>
                <w:u w:val="single"/>
              </w:rPr>
              <w:t xml:space="preserve">        </w:t>
            </w:r>
            <w:r>
              <w:rPr>
                <w:rFonts w:hint="default"/>
                <w:color w:val="auto"/>
                <w:kern w:val="0"/>
              </w:rPr>
              <w:t>L/min</w:t>
            </w:r>
            <w:r>
              <w:rPr>
                <w:rFonts w:hint="eastAsia" w:ascii="宋体" w:hAnsi="宋体"/>
                <w:color w:val="auto"/>
                <w:kern w:val="0"/>
              </w:rPr>
              <w:t>，相对误差</w:t>
            </w:r>
            <w:r>
              <w:rPr>
                <w:rFonts w:hint="default"/>
                <w:color w:val="auto"/>
                <w:kern w:val="0"/>
                <w:u w:val="single"/>
              </w:rPr>
              <w:t xml:space="preserve">       </w:t>
            </w:r>
            <w:r>
              <w:rPr>
                <w:rFonts w:hint="default"/>
                <w:color w:val="auto"/>
                <w:kern w:val="0"/>
              </w:rPr>
              <w:t>%</w:t>
            </w:r>
            <w:r>
              <w:rPr>
                <w:rFonts w:hint="eastAsia" w:ascii="宋体" w:hAnsi="宋体"/>
                <w:color w:val="auto"/>
                <w:kern w:val="0"/>
              </w:rPr>
              <w:t>（</w:t>
            </w:r>
            <w:r>
              <w:rPr>
                <w:rFonts w:hint="default"/>
                <w:color w:val="auto"/>
                <w:kern w:val="0"/>
              </w:rPr>
              <w:t>≤±10%</w:t>
            </w:r>
            <w:r>
              <w:rPr>
                <w:rFonts w:hint="eastAsia" w:ascii="宋体" w:hAnsi="宋体"/>
                <w:color w:val="auto"/>
                <w:kern w:val="0"/>
              </w:rPr>
              <w:t>）；</w:t>
            </w:r>
          </w:p>
          <w:p w14:paraId="261BADA4">
            <w:pPr>
              <w:adjustRightInd w:val="0"/>
              <w:snapToGrid w:val="0"/>
              <w:spacing w:before="0" w:beforeAutospacing="0" w:after="0" w:afterAutospacing="0"/>
              <w:ind w:left="0" w:right="0"/>
              <w:jc w:val="left"/>
              <w:rPr>
                <w:rFonts w:hint="default"/>
                <w:color w:val="auto"/>
                <w:kern w:val="0"/>
                <w:u w:val="single"/>
              </w:rPr>
            </w:pPr>
            <w:r>
              <w:rPr>
                <w:rFonts w:hint="default"/>
                <w:color w:val="auto"/>
                <w:kern w:val="0"/>
              </w:rPr>
              <w:t>CO</w:t>
            </w:r>
            <w:r>
              <w:rPr>
                <w:rFonts w:hint="eastAsia" w:ascii="宋体" w:hAnsi="宋体"/>
                <w:color w:val="auto"/>
                <w:kern w:val="0"/>
              </w:rPr>
              <w:t>显示流量：</w:t>
            </w:r>
            <w:r>
              <w:rPr>
                <w:rFonts w:hint="default"/>
                <w:color w:val="auto"/>
                <w:kern w:val="0"/>
                <w:u w:val="single"/>
              </w:rPr>
              <w:t xml:space="preserve">          </w:t>
            </w:r>
            <w:r>
              <w:rPr>
                <w:rFonts w:hint="default"/>
                <w:color w:val="auto"/>
                <w:kern w:val="0"/>
              </w:rPr>
              <w:t>L/min</w:t>
            </w:r>
            <w:r>
              <w:rPr>
                <w:rFonts w:hint="eastAsia" w:ascii="宋体" w:hAnsi="宋体"/>
                <w:color w:val="auto"/>
                <w:kern w:val="0"/>
              </w:rPr>
              <w:t>，流量计测值：</w:t>
            </w:r>
            <w:r>
              <w:rPr>
                <w:rFonts w:hint="default"/>
                <w:color w:val="auto"/>
                <w:kern w:val="0"/>
                <w:u w:val="single"/>
              </w:rPr>
              <w:t xml:space="preserve">        </w:t>
            </w:r>
            <w:r>
              <w:rPr>
                <w:rFonts w:hint="default"/>
                <w:color w:val="auto"/>
                <w:kern w:val="0"/>
              </w:rPr>
              <w:t>L/min</w:t>
            </w:r>
            <w:r>
              <w:rPr>
                <w:rFonts w:hint="eastAsia" w:ascii="宋体" w:hAnsi="宋体"/>
                <w:color w:val="auto"/>
                <w:kern w:val="0"/>
              </w:rPr>
              <w:t>，相对误差</w:t>
            </w:r>
            <w:r>
              <w:rPr>
                <w:rFonts w:hint="default"/>
                <w:color w:val="auto"/>
                <w:kern w:val="0"/>
                <w:u w:val="single"/>
              </w:rPr>
              <w:t xml:space="preserve">       </w:t>
            </w:r>
            <w:r>
              <w:rPr>
                <w:rFonts w:hint="default"/>
                <w:color w:val="auto"/>
                <w:kern w:val="0"/>
              </w:rPr>
              <w:t>%</w:t>
            </w:r>
            <w:r>
              <w:rPr>
                <w:rFonts w:hint="eastAsia" w:ascii="宋体" w:hAnsi="宋体"/>
                <w:color w:val="auto"/>
                <w:kern w:val="0"/>
              </w:rPr>
              <w:t>（</w:t>
            </w:r>
            <w:r>
              <w:rPr>
                <w:rFonts w:hint="default"/>
                <w:color w:val="auto"/>
                <w:kern w:val="0"/>
              </w:rPr>
              <w:t>≤±10%</w:t>
            </w:r>
            <w:r>
              <w:rPr>
                <w:rFonts w:hint="eastAsia" w:ascii="宋体" w:hAnsi="宋体"/>
                <w:color w:val="auto"/>
                <w:kern w:val="0"/>
              </w:rPr>
              <w:t>）；</w:t>
            </w:r>
          </w:p>
          <w:p w14:paraId="3BEEF2E9">
            <w:pPr>
              <w:adjustRightInd w:val="0"/>
              <w:snapToGrid w:val="0"/>
              <w:spacing w:before="0" w:beforeAutospacing="0" w:after="0" w:afterAutospacing="0"/>
              <w:ind w:left="0" w:right="0"/>
              <w:jc w:val="left"/>
              <w:rPr>
                <w:rFonts w:hint="default"/>
                <w:color w:val="auto"/>
                <w:kern w:val="0"/>
                <w:szCs w:val="21"/>
                <w:u w:val="single"/>
              </w:rPr>
            </w:pPr>
            <w:r>
              <w:rPr>
                <w:rFonts w:hint="default"/>
                <w:color w:val="auto"/>
                <w:kern w:val="0"/>
              </w:rPr>
              <w:t>O</w:t>
            </w:r>
            <w:r>
              <w:rPr>
                <w:rFonts w:hint="default"/>
                <w:color w:val="auto"/>
                <w:kern w:val="0"/>
                <w:vertAlign w:val="subscript"/>
              </w:rPr>
              <w:t>3</w:t>
            </w:r>
            <w:r>
              <w:rPr>
                <w:rFonts w:hint="eastAsia"/>
                <w:color w:val="auto"/>
                <w:kern w:val="0"/>
              </w:rPr>
              <w:t>显示流量：</w:t>
            </w:r>
            <w:r>
              <w:rPr>
                <w:rFonts w:hint="default"/>
                <w:color w:val="auto"/>
                <w:kern w:val="0"/>
                <w:u w:val="single"/>
              </w:rPr>
              <w:t xml:space="preserve">          </w:t>
            </w:r>
            <w:r>
              <w:rPr>
                <w:rFonts w:hint="default"/>
                <w:color w:val="auto"/>
                <w:kern w:val="0"/>
              </w:rPr>
              <w:t>L/min</w:t>
            </w:r>
            <w:r>
              <w:rPr>
                <w:rFonts w:hint="eastAsia" w:ascii="宋体" w:hAnsi="宋体"/>
                <w:color w:val="auto"/>
                <w:kern w:val="0"/>
              </w:rPr>
              <w:t>，流量计测值：</w:t>
            </w:r>
            <w:r>
              <w:rPr>
                <w:rFonts w:hint="default"/>
                <w:color w:val="auto"/>
                <w:kern w:val="0"/>
                <w:u w:val="single"/>
              </w:rPr>
              <w:t xml:space="preserve">        </w:t>
            </w:r>
            <w:r>
              <w:rPr>
                <w:rFonts w:hint="default"/>
                <w:color w:val="auto"/>
                <w:kern w:val="0"/>
              </w:rPr>
              <w:t>L/min</w:t>
            </w:r>
            <w:r>
              <w:rPr>
                <w:rFonts w:hint="eastAsia" w:ascii="宋体" w:hAnsi="宋体"/>
                <w:color w:val="auto"/>
                <w:kern w:val="0"/>
              </w:rPr>
              <w:t>，相对误差</w:t>
            </w:r>
            <w:r>
              <w:rPr>
                <w:rFonts w:hint="default"/>
                <w:color w:val="auto"/>
                <w:kern w:val="0"/>
                <w:u w:val="single"/>
              </w:rPr>
              <w:t xml:space="preserve">       </w:t>
            </w:r>
            <w:r>
              <w:rPr>
                <w:rFonts w:hint="default"/>
                <w:color w:val="auto"/>
                <w:kern w:val="0"/>
              </w:rPr>
              <w:t>%</w:t>
            </w:r>
            <w:r>
              <w:rPr>
                <w:rFonts w:hint="eastAsia" w:ascii="宋体" w:hAnsi="宋体"/>
                <w:color w:val="auto"/>
                <w:kern w:val="0"/>
              </w:rPr>
              <w:t>（</w:t>
            </w:r>
            <w:r>
              <w:rPr>
                <w:rFonts w:hint="default"/>
                <w:color w:val="auto"/>
                <w:kern w:val="0"/>
              </w:rPr>
              <w:t>≤±10%</w:t>
            </w:r>
            <w:r>
              <w:rPr>
                <w:rFonts w:hint="eastAsia" w:ascii="宋体" w:hAnsi="宋体"/>
                <w:color w:val="auto"/>
                <w:kern w:val="0"/>
              </w:rPr>
              <w:t>）</w:t>
            </w:r>
          </w:p>
        </w:tc>
        <w:tc>
          <w:tcPr>
            <w:tcW w:w="1060" w:type="dxa"/>
            <w:tcBorders>
              <w:top w:val="single" w:color="auto" w:sz="4" w:space="0"/>
              <w:left w:val="nil"/>
              <w:bottom w:val="single" w:color="auto" w:sz="4" w:space="0"/>
              <w:right w:val="single" w:color="auto" w:sz="4" w:space="0"/>
            </w:tcBorders>
            <w:noWrap w:val="0"/>
            <w:vAlign w:val="center"/>
          </w:tcPr>
          <w:p w14:paraId="1A730923">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3</w:t>
            </w:r>
          </w:p>
        </w:tc>
        <w:tc>
          <w:tcPr>
            <w:tcW w:w="1525" w:type="dxa"/>
            <w:tcBorders>
              <w:top w:val="single" w:color="auto" w:sz="4" w:space="0"/>
              <w:left w:val="nil"/>
              <w:bottom w:val="single" w:color="auto" w:sz="4" w:space="0"/>
              <w:right w:val="single" w:color="auto" w:sz="4" w:space="0"/>
            </w:tcBorders>
            <w:noWrap w:val="0"/>
            <w:vAlign w:val="center"/>
          </w:tcPr>
          <w:p w14:paraId="2204AAD3">
            <w:pPr>
              <w:snapToGrid w:val="0"/>
              <w:spacing w:before="0" w:beforeAutospacing="0" w:after="0" w:afterAutospacing="0"/>
              <w:ind w:left="0" w:right="0"/>
              <w:rPr>
                <w:rFonts w:hint="default"/>
                <w:color w:val="auto"/>
                <w:szCs w:val="21"/>
              </w:rPr>
            </w:pPr>
            <w:r>
              <w:rPr>
                <w:rFonts w:hint="eastAsia"/>
                <w:color w:val="auto"/>
              </w:rPr>
              <w:t>一项超误差范围扣</w:t>
            </w:r>
            <w:r>
              <w:rPr>
                <w:rFonts w:hint="eastAsia"/>
                <w:color w:val="auto"/>
                <w:lang w:val="en-US" w:eastAsia="zh-CN"/>
              </w:rPr>
              <w:t>3</w:t>
            </w:r>
            <w:r>
              <w:rPr>
                <w:rFonts w:hint="eastAsia" w:ascii="宋体" w:hAnsi="宋体"/>
                <w:color w:val="auto"/>
              </w:rPr>
              <w:t xml:space="preserve">分 </w:t>
            </w:r>
          </w:p>
        </w:tc>
        <w:tc>
          <w:tcPr>
            <w:tcW w:w="655" w:type="dxa"/>
            <w:tcBorders>
              <w:top w:val="single" w:color="auto" w:sz="4" w:space="0"/>
              <w:left w:val="nil"/>
              <w:bottom w:val="single" w:color="auto" w:sz="4" w:space="0"/>
              <w:right w:val="single" w:color="auto" w:sz="4" w:space="0"/>
            </w:tcBorders>
            <w:noWrap w:val="0"/>
            <w:vAlign w:val="center"/>
          </w:tcPr>
          <w:p w14:paraId="3DA63D84">
            <w:pPr>
              <w:adjustRightInd w:val="0"/>
              <w:snapToGrid w:val="0"/>
              <w:spacing w:before="0" w:beforeAutospacing="0" w:after="0" w:afterAutospacing="0"/>
              <w:ind w:left="0" w:right="0"/>
              <w:jc w:val="center"/>
              <w:rPr>
                <w:rFonts w:hint="default"/>
                <w:color w:val="auto"/>
                <w:szCs w:val="21"/>
              </w:rPr>
            </w:pPr>
          </w:p>
        </w:tc>
      </w:tr>
      <w:tr w14:paraId="3C88768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5A6DF22E">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440D636F">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颗粒物采样总流量测试：</w:t>
            </w:r>
          </w:p>
          <w:p w14:paraId="3EF2B72E">
            <w:pPr>
              <w:adjustRightInd w:val="0"/>
              <w:snapToGrid w:val="0"/>
              <w:spacing w:before="0" w:beforeAutospacing="0" w:after="0" w:afterAutospacing="0"/>
              <w:ind w:left="0" w:right="0"/>
              <w:jc w:val="left"/>
              <w:rPr>
                <w:rFonts w:hint="default"/>
                <w:color w:val="auto"/>
                <w:kern w:val="0"/>
                <w:u w:val="single"/>
              </w:rPr>
            </w:pPr>
            <w:r>
              <w:rPr>
                <w:rFonts w:hint="default"/>
                <w:color w:val="auto"/>
                <w:kern w:val="0"/>
              </w:rPr>
              <w:t>PM</w:t>
            </w:r>
            <w:r>
              <w:rPr>
                <w:rFonts w:hint="default"/>
                <w:color w:val="auto"/>
                <w:kern w:val="0"/>
                <w:vertAlign w:val="subscript"/>
              </w:rPr>
              <w:t>10</w:t>
            </w:r>
            <w:r>
              <w:rPr>
                <w:rFonts w:hint="eastAsia"/>
                <w:color w:val="auto"/>
                <w:kern w:val="0"/>
              </w:rPr>
              <w:t>：流量计：</w:t>
            </w:r>
            <w:r>
              <w:rPr>
                <w:rFonts w:hint="default"/>
                <w:color w:val="auto"/>
                <w:kern w:val="0"/>
                <w:u w:val="single"/>
              </w:rPr>
              <w:t xml:space="preserve">       </w:t>
            </w:r>
            <w:r>
              <w:rPr>
                <w:rFonts w:hint="default"/>
                <w:color w:val="auto"/>
                <w:kern w:val="0"/>
              </w:rPr>
              <w:t>L/min</w:t>
            </w:r>
            <w:r>
              <w:rPr>
                <w:rFonts w:hint="eastAsia" w:ascii="宋体" w:hAnsi="宋体"/>
                <w:color w:val="auto"/>
                <w:kern w:val="0"/>
              </w:rPr>
              <w:t>，相对误差</w:t>
            </w:r>
            <w:r>
              <w:rPr>
                <w:rFonts w:hint="default"/>
                <w:color w:val="auto"/>
                <w:kern w:val="0"/>
                <w:u w:val="single"/>
              </w:rPr>
              <w:t xml:space="preserve">    </w:t>
            </w:r>
            <w:r>
              <w:rPr>
                <w:rFonts w:hint="default"/>
                <w:color w:val="auto"/>
                <w:kern w:val="0"/>
              </w:rPr>
              <w:t>%</w:t>
            </w:r>
            <w:r>
              <w:rPr>
                <w:rFonts w:hint="eastAsia" w:ascii="宋体" w:hAnsi="宋体"/>
                <w:color w:val="auto"/>
                <w:kern w:val="0"/>
              </w:rPr>
              <w:t>（</w:t>
            </w:r>
            <w:r>
              <w:rPr>
                <w:rFonts w:hint="default"/>
                <w:color w:val="auto"/>
                <w:kern w:val="0"/>
              </w:rPr>
              <w:t>≤±5%</w:t>
            </w:r>
            <w:r>
              <w:rPr>
                <w:rFonts w:hint="eastAsia" w:ascii="宋体" w:hAnsi="宋体"/>
                <w:color w:val="auto"/>
                <w:kern w:val="0"/>
              </w:rPr>
              <w:t>）</w:t>
            </w:r>
          </w:p>
          <w:p w14:paraId="142548E2">
            <w:pPr>
              <w:adjustRightInd w:val="0"/>
              <w:snapToGrid w:val="0"/>
              <w:spacing w:before="0" w:beforeAutospacing="0" w:after="0" w:afterAutospacing="0"/>
              <w:ind w:left="0" w:right="0"/>
              <w:jc w:val="left"/>
              <w:rPr>
                <w:rFonts w:hint="default"/>
                <w:color w:val="auto"/>
                <w:kern w:val="0"/>
                <w:szCs w:val="21"/>
                <w:u w:val="single"/>
              </w:rPr>
            </w:pPr>
            <w:r>
              <w:rPr>
                <w:rFonts w:hint="default"/>
                <w:color w:val="auto"/>
                <w:kern w:val="0"/>
              </w:rPr>
              <w:t>PM</w:t>
            </w:r>
            <w:r>
              <w:rPr>
                <w:rFonts w:hint="default"/>
                <w:color w:val="auto"/>
                <w:kern w:val="0"/>
                <w:vertAlign w:val="subscript"/>
              </w:rPr>
              <w:t>2.5</w:t>
            </w:r>
            <w:r>
              <w:rPr>
                <w:rFonts w:hint="eastAsia"/>
                <w:color w:val="auto"/>
                <w:kern w:val="0"/>
              </w:rPr>
              <w:t>：流量计：</w:t>
            </w:r>
            <w:r>
              <w:rPr>
                <w:rFonts w:hint="default"/>
                <w:color w:val="auto"/>
                <w:kern w:val="0"/>
                <w:u w:val="single"/>
              </w:rPr>
              <w:t xml:space="preserve">       </w:t>
            </w:r>
            <w:r>
              <w:rPr>
                <w:rFonts w:hint="default"/>
                <w:color w:val="auto"/>
                <w:kern w:val="0"/>
              </w:rPr>
              <w:t>L/min</w:t>
            </w:r>
            <w:r>
              <w:rPr>
                <w:rFonts w:hint="eastAsia" w:ascii="宋体" w:hAnsi="宋体"/>
                <w:color w:val="auto"/>
                <w:kern w:val="0"/>
              </w:rPr>
              <w:t>，相对误差</w:t>
            </w:r>
            <w:r>
              <w:rPr>
                <w:rFonts w:hint="default"/>
                <w:color w:val="auto"/>
                <w:kern w:val="0"/>
                <w:u w:val="single"/>
              </w:rPr>
              <w:t xml:space="preserve">    </w:t>
            </w:r>
            <w:r>
              <w:rPr>
                <w:rFonts w:hint="default"/>
                <w:color w:val="auto"/>
                <w:kern w:val="0"/>
              </w:rPr>
              <w:t>%</w:t>
            </w:r>
            <w:r>
              <w:rPr>
                <w:rFonts w:hint="eastAsia" w:ascii="宋体" w:hAnsi="宋体"/>
                <w:color w:val="auto"/>
                <w:kern w:val="0"/>
              </w:rPr>
              <w:t>（</w:t>
            </w:r>
            <w:r>
              <w:rPr>
                <w:rFonts w:hint="default"/>
                <w:color w:val="auto"/>
                <w:kern w:val="0"/>
              </w:rPr>
              <w:t>≤±5%</w:t>
            </w:r>
            <w:r>
              <w:rPr>
                <w:rFonts w:hint="eastAsia" w:ascii="宋体" w:hAnsi="宋体"/>
                <w:color w:val="auto"/>
                <w:kern w:val="0"/>
              </w:rPr>
              <w:t>）</w:t>
            </w:r>
          </w:p>
        </w:tc>
        <w:tc>
          <w:tcPr>
            <w:tcW w:w="1060" w:type="dxa"/>
            <w:tcBorders>
              <w:top w:val="single" w:color="auto" w:sz="4" w:space="0"/>
              <w:left w:val="nil"/>
              <w:bottom w:val="single" w:color="auto" w:sz="4" w:space="0"/>
              <w:right w:val="single" w:color="auto" w:sz="4" w:space="0"/>
            </w:tcBorders>
            <w:noWrap w:val="0"/>
            <w:vAlign w:val="center"/>
          </w:tcPr>
          <w:p w14:paraId="570756FE">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2</w:t>
            </w:r>
          </w:p>
        </w:tc>
        <w:tc>
          <w:tcPr>
            <w:tcW w:w="1525" w:type="dxa"/>
            <w:tcBorders>
              <w:top w:val="single" w:color="auto" w:sz="4" w:space="0"/>
              <w:left w:val="nil"/>
              <w:bottom w:val="single" w:color="auto" w:sz="4" w:space="0"/>
              <w:right w:val="single" w:color="auto" w:sz="4" w:space="0"/>
            </w:tcBorders>
            <w:noWrap w:val="0"/>
            <w:vAlign w:val="center"/>
          </w:tcPr>
          <w:p w14:paraId="2F43E082">
            <w:pPr>
              <w:snapToGrid w:val="0"/>
              <w:spacing w:before="0" w:beforeAutospacing="0" w:after="0" w:afterAutospacing="0"/>
              <w:ind w:left="0" w:right="0"/>
              <w:rPr>
                <w:rFonts w:hint="default"/>
                <w:color w:val="auto"/>
                <w:szCs w:val="21"/>
              </w:rPr>
            </w:pPr>
            <w:r>
              <w:rPr>
                <w:rFonts w:hint="eastAsia"/>
                <w:color w:val="auto"/>
              </w:rPr>
              <w:t>每项</w:t>
            </w:r>
            <w:r>
              <w:rPr>
                <w:rFonts w:hint="eastAsia"/>
                <w:color w:val="auto"/>
                <w:lang w:val="en-US" w:eastAsia="zh-CN"/>
              </w:rPr>
              <w:t>2</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0B1EEAB9">
            <w:pPr>
              <w:adjustRightInd w:val="0"/>
              <w:snapToGrid w:val="0"/>
              <w:spacing w:before="0" w:beforeAutospacing="0" w:after="0" w:afterAutospacing="0"/>
              <w:ind w:left="0" w:right="0"/>
              <w:jc w:val="center"/>
              <w:rPr>
                <w:rFonts w:hint="default"/>
                <w:color w:val="auto"/>
                <w:szCs w:val="21"/>
              </w:rPr>
            </w:pPr>
          </w:p>
        </w:tc>
      </w:tr>
      <w:tr w14:paraId="0C42823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2F52D719">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7D08A83A">
            <w:pPr>
              <w:adjustRightInd w:val="0"/>
              <w:snapToGrid w:val="0"/>
              <w:spacing w:before="0" w:beforeAutospacing="0" w:after="0" w:afterAutospacing="0"/>
              <w:ind w:left="0" w:right="0"/>
              <w:jc w:val="left"/>
              <w:rPr>
                <w:rFonts w:hint="default"/>
                <w:color w:val="auto"/>
                <w:kern w:val="0"/>
                <w:szCs w:val="21"/>
              </w:rPr>
            </w:pPr>
            <w:r>
              <w:rPr>
                <w:rFonts w:hint="default"/>
                <w:color w:val="auto"/>
                <w:kern w:val="0"/>
              </w:rPr>
              <w:t>SO</w:t>
            </w:r>
            <w:r>
              <w:rPr>
                <w:rFonts w:hint="default"/>
                <w:color w:val="auto"/>
                <w:kern w:val="0"/>
                <w:vertAlign w:val="subscript"/>
              </w:rPr>
              <w:t>2</w:t>
            </w:r>
            <w:r>
              <w:rPr>
                <w:rFonts w:hint="eastAsia"/>
                <w:color w:val="auto"/>
                <w:kern w:val="0"/>
              </w:rPr>
              <w:t>跨度测试：标气浓度</w:t>
            </w:r>
            <w:r>
              <w:rPr>
                <w:rFonts w:hint="default"/>
                <w:color w:val="auto"/>
                <w:kern w:val="0"/>
              </w:rPr>
              <w:t>_________,</w:t>
            </w:r>
            <w:r>
              <w:rPr>
                <w:rFonts w:hint="eastAsia" w:ascii="宋体" w:hAnsi="宋体"/>
                <w:color w:val="auto"/>
                <w:kern w:val="0"/>
              </w:rPr>
              <w:t>有效期</w:t>
            </w:r>
            <w:r>
              <w:rPr>
                <w:rFonts w:hint="default"/>
                <w:color w:val="auto"/>
                <w:kern w:val="0"/>
              </w:rPr>
              <w:t>______</w:t>
            </w:r>
            <w:r>
              <w:rPr>
                <w:rFonts w:hint="eastAsia"/>
                <w:color w:val="auto"/>
                <w:kern w:val="0"/>
                <w:u w:val="single"/>
                <w:lang w:val="en-US" w:eastAsia="zh-CN"/>
              </w:rPr>
              <w:t xml:space="preserve">  </w:t>
            </w:r>
            <w:r>
              <w:rPr>
                <w:rFonts w:hint="default"/>
                <w:color w:val="auto"/>
                <w:kern w:val="0"/>
              </w:rPr>
              <w:t>__</w:t>
            </w:r>
            <w:r>
              <w:rPr>
                <w:rFonts w:hint="eastAsia" w:ascii="宋体" w:hAnsi="宋体"/>
                <w:color w:val="auto"/>
                <w:kern w:val="0"/>
              </w:rPr>
              <w:t>。输出</w:t>
            </w:r>
            <w:r>
              <w:rPr>
                <w:rFonts w:hint="default"/>
                <w:color w:val="auto"/>
                <w:kern w:val="0"/>
                <w:u w:val="single"/>
              </w:rPr>
              <w:t xml:space="preserve">      </w:t>
            </w:r>
            <w:r>
              <w:rPr>
                <w:rFonts w:hint="default"/>
                <w:color w:val="auto"/>
                <w:kern w:val="0"/>
              </w:rPr>
              <w:t>ppb</w:t>
            </w:r>
            <w:r>
              <w:rPr>
                <w:rFonts w:hint="eastAsia" w:ascii="宋体" w:hAnsi="宋体"/>
                <w:color w:val="auto"/>
                <w:kern w:val="0"/>
              </w:rPr>
              <w:t xml:space="preserve">，仪器响应 </w:t>
            </w:r>
            <w:r>
              <w:rPr>
                <w:rFonts w:hint="default"/>
                <w:color w:val="auto"/>
                <w:kern w:val="0"/>
                <w:u w:val="single"/>
              </w:rPr>
              <w:t xml:space="preserve">       </w:t>
            </w:r>
            <w:r>
              <w:rPr>
                <w:rFonts w:hint="default"/>
                <w:color w:val="auto"/>
                <w:kern w:val="0"/>
              </w:rPr>
              <w:t>ppb</w:t>
            </w:r>
            <w:r>
              <w:rPr>
                <w:rFonts w:hint="eastAsia" w:ascii="宋体" w:hAnsi="宋体"/>
                <w:color w:val="auto"/>
                <w:kern w:val="0"/>
              </w:rPr>
              <w:t>，误差</w:t>
            </w:r>
            <w:r>
              <w:rPr>
                <w:rFonts w:hint="default"/>
                <w:color w:val="auto"/>
                <w:kern w:val="0"/>
              </w:rPr>
              <w:t>_______</w:t>
            </w:r>
            <w:r>
              <w:rPr>
                <w:rFonts w:hint="eastAsia" w:ascii="宋体" w:hAnsi="宋体"/>
                <w:color w:val="auto"/>
                <w:kern w:val="0"/>
              </w:rPr>
              <w:t>（</w:t>
            </w:r>
            <w:r>
              <w:rPr>
                <w:rFonts w:hint="default"/>
                <w:color w:val="auto"/>
                <w:kern w:val="0"/>
              </w:rPr>
              <w:t>≤±5%</w:t>
            </w:r>
            <w:r>
              <w:rPr>
                <w:rFonts w:hint="eastAsia" w:ascii="宋体" w:hAnsi="宋体"/>
                <w:color w:val="auto"/>
                <w:kern w:val="0"/>
              </w:rPr>
              <w:t>），响应时间</w:t>
            </w:r>
            <w:r>
              <w:rPr>
                <w:rFonts w:hint="default"/>
                <w:color w:val="auto"/>
                <w:kern w:val="0"/>
              </w:rPr>
              <w:t>t90</w:t>
            </w:r>
            <w:r>
              <w:rPr>
                <w:rFonts w:hint="eastAsia" w:ascii="宋体" w:hAnsi="宋体"/>
                <w:color w:val="auto"/>
                <w:kern w:val="0"/>
              </w:rPr>
              <w:t>：</w:t>
            </w:r>
            <w:r>
              <w:rPr>
                <w:rFonts w:hint="default"/>
                <w:color w:val="auto"/>
                <w:kern w:val="0"/>
                <w:u w:val="single"/>
              </w:rPr>
              <w:t xml:space="preserve">       </w:t>
            </w:r>
            <w:r>
              <w:rPr>
                <w:rFonts w:hint="default"/>
                <w:color w:val="auto"/>
                <w:kern w:val="0"/>
              </w:rPr>
              <w:t>min</w:t>
            </w:r>
            <w:r>
              <w:rPr>
                <w:rFonts w:hint="eastAsia" w:ascii="宋体" w:hAnsi="宋体"/>
                <w:color w:val="auto"/>
                <w:kern w:val="0"/>
              </w:rPr>
              <w:t>（</w:t>
            </w:r>
            <w:r>
              <w:rPr>
                <w:rFonts w:hint="default"/>
                <w:color w:val="auto"/>
                <w:kern w:val="0"/>
              </w:rPr>
              <w:t>≤5min</w:t>
            </w:r>
            <w:r>
              <w:rPr>
                <w:rFonts w:hint="eastAsia" w:ascii="宋体" w:hAnsi="宋体"/>
                <w:color w:val="auto"/>
                <w:kern w:val="0"/>
              </w:rPr>
              <w:t>）</w:t>
            </w:r>
          </w:p>
        </w:tc>
        <w:tc>
          <w:tcPr>
            <w:tcW w:w="1060" w:type="dxa"/>
            <w:tcBorders>
              <w:top w:val="single" w:color="auto" w:sz="4" w:space="0"/>
              <w:left w:val="nil"/>
              <w:bottom w:val="single" w:color="auto" w:sz="4" w:space="0"/>
              <w:right w:val="single" w:color="auto" w:sz="4" w:space="0"/>
            </w:tcBorders>
            <w:noWrap w:val="0"/>
            <w:vAlign w:val="center"/>
          </w:tcPr>
          <w:p w14:paraId="29FF4BAE">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2</w:t>
            </w:r>
          </w:p>
        </w:tc>
        <w:tc>
          <w:tcPr>
            <w:tcW w:w="1525" w:type="dxa"/>
            <w:tcBorders>
              <w:top w:val="single" w:color="auto" w:sz="4" w:space="0"/>
              <w:left w:val="nil"/>
              <w:bottom w:val="single" w:color="auto" w:sz="4" w:space="0"/>
              <w:right w:val="single" w:color="auto" w:sz="4" w:space="0"/>
            </w:tcBorders>
            <w:noWrap w:val="0"/>
            <w:vAlign w:val="center"/>
          </w:tcPr>
          <w:p w14:paraId="1344E5B2">
            <w:pPr>
              <w:snapToGrid w:val="0"/>
              <w:spacing w:before="0" w:beforeAutospacing="0" w:after="0" w:afterAutospacing="0"/>
              <w:ind w:left="0" w:right="0"/>
              <w:rPr>
                <w:rFonts w:hint="default"/>
                <w:color w:val="auto"/>
                <w:szCs w:val="21"/>
              </w:rPr>
            </w:pPr>
            <w:r>
              <w:rPr>
                <w:rFonts w:hint="eastAsia"/>
                <w:color w:val="auto"/>
              </w:rPr>
              <w:t>一项不满足扣</w:t>
            </w:r>
            <w:r>
              <w:rPr>
                <w:rFonts w:hint="eastAsia"/>
                <w:color w:val="auto"/>
                <w:lang w:val="en-US" w:eastAsia="zh-CN"/>
              </w:rPr>
              <w:t>2</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46212A32">
            <w:pPr>
              <w:adjustRightInd w:val="0"/>
              <w:snapToGrid w:val="0"/>
              <w:spacing w:before="0" w:beforeAutospacing="0" w:after="0" w:afterAutospacing="0"/>
              <w:ind w:left="0" w:right="0"/>
              <w:jc w:val="center"/>
              <w:rPr>
                <w:rFonts w:hint="default"/>
                <w:color w:val="auto"/>
                <w:szCs w:val="21"/>
              </w:rPr>
            </w:pPr>
          </w:p>
        </w:tc>
      </w:tr>
      <w:tr w14:paraId="564D3F6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3C601E65">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0988FF1F">
            <w:pPr>
              <w:adjustRightInd w:val="0"/>
              <w:snapToGrid w:val="0"/>
              <w:spacing w:before="0" w:beforeAutospacing="0" w:after="0" w:afterAutospacing="0"/>
              <w:ind w:left="0" w:right="0"/>
              <w:jc w:val="left"/>
              <w:rPr>
                <w:rFonts w:hint="default"/>
                <w:color w:val="auto"/>
                <w:kern w:val="0"/>
                <w:szCs w:val="21"/>
              </w:rPr>
            </w:pPr>
            <w:r>
              <w:rPr>
                <w:rFonts w:hint="default"/>
                <w:color w:val="auto"/>
                <w:kern w:val="0"/>
              </w:rPr>
              <w:t>SO</w:t>
            </w:r>
            <w:r>
              <w:rPr>
                <w:rFonts w:hint="default"/>
                <w:color w:val="auto"/>
                <w:kern w:val="0"/>
                <w:vertAlign w:val="subscript"/>
              </w:rPr>
              <w:t>2</w:t>
            </w:r>
            <w:r>
              <w:rPr>
                <w:rFonts w:hint="eastAsia"/>
                <w:color w:val="auto"/>
                <w:kern w:val="0"/>
              </w:rPr>
              <w:t>紫外灯电压</w:t>
            </w:r>
            <w:r>
              <w:rPr>
                <w:rFonts w:hint="default"/>
                <w:color w:val="auto"/>
                <w:kern w:val="0"/>
              </w:rPr>
              <w:t xml:space="preserve">__________,     </w:t>
            </w:r>
            <w:r>
              <w:rPr>
                <w:rFonts w:hint="eastAsia" w:ascii="宋体" w:hAnsi="宋体"/>
                <w:color w:val="auto"/>
                <w:kern w:val="0"/>
              </w:rPr>
              <w:t>斜率</w:t>
            </w:r>
            <w:r>
              <w:rPr>
                <w:rFonts w:hint="default"/>
                <w:color w:val="auto"/>
                <w:kern w:val="0"/>
              </w:rPr>
              <w:t xml:space="preserve">___________,    </w:t>
            </w:r>
            <w:r>
              <w:rPr>
                <w:rFonts w:hint="eastAsia" w:ascii="宋体" w:hAnsi="宋体"/>
                <w:color w:val="auto"/>
                <w:kern w:val="0"/>
              </w:rPr>
              <w:t>截距</w:t>
            </w:r>
            <w:r>
              <w:rPr>
                <w:rFonts w:hint="default"/>
                <w:color w:val="auto"/>
                <w:kern w:val="0"/>
              </w:rPr>
              <w:t>__________</w:t>
            </w:r>
          </w:p>
        </w:tc>
        <w:tc>
          <w:tcPr>
            <w:tcW w:w="1060" w:type="dxa"/>
            <w:tcBorders>
              <w:top w:val="single" w:color="auto" w:sz="4" w:space="0"/>
              <w:left w:val="nil"/>
              <w:bottom w:val="single" w:color="auto" w:sz="4" w:space="0"/>
              <w:right w:val="single" w:color="auto" w:sz="4" w:space="0"/>
            </w:tcBorders>
            <w:noWrap w:val="0"/>
            <w:vAlign w:val="center"/>
          </w:tcPr>
          <w:p w14:paraId="3AFDCCAC">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2</w:t>
            </w:r>
          </w:p>
        </w:tc>
        <w:tc>
          <w:tcPr>
            <w:tcW w:w="1525" w:type="dxa"/>
            <w:tcBorders>
              <w:top w:val="single" w:color="auto" w:sz="4" w:space="0"/>
              <w:left w:val="nil"/>
              <w:bottom w:val="single" w:color="auto" w:sz="4" w:space="0"/>
              <w:right w:val="single" w:color="auto" w:sz="4" w:space="0"/>
            </w:tcBorders>
            <w:noWrap w:val="0"/>
            <w:vAlign w:val="center"/>
          </w:tcPr>
          <w:p w14:paraId="7B682194">
            <w:pPr>
              <w:snapToGrid w:val="0"/>
              <w:spacing w:before="0" w:beforeAutospacing="0" w:after="0" w:afterAutospacing="0"/>
              <w:ind w:left="0" w:right="0"/>
              <w:rPr>
                <w:rFonts w:hint="default"/>
                <w:color w:val="auto"/>
                <w:szCs w:val="21"/>
              </w:rPr>
            </w:pPr>
            <w:r>
              <w:rPr>
                <w:rFonts w:hint="eastAsia"/>
                <w:color w:val="auto"/>
              </w:rPr>
              <w:t>一项偏离正常值扣</w:t>
            </w:r>
            <w:r>
              <w:rPr>
                <w:rFonts w:hint="eastAsia"/>
                <w:color w:val="auto"/>
                <w:lang w:val="en-US" w:eastAsia="zh-CN"/>
              </w:rPr>
              <w:t>2</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7C29C80B">
            <w:pPr>
              <w:adjustRightInd w:val="0"/>
              <w:snapToGrid w:val="0"/>
              <w:spacing w:before="0" w:beforeAutospacing="0" w:after="0" w:afterAutospacing="0"/>
              <w:ind w:left="0" w:right="0"/>
              <w:jc w:val="center"/>
              <w:rPr>
                <w:rFonts w:hint="default"/>
                <w:color w:val="auto"/>
                <w:szCs w:val="21"/>
              </w:rPr>
            </w:pPr>
          </w:p>
        </w:tc>
      </w:tr>
      <w:tr w14:paraId="4782EF5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1F7CB86">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5D499529">
            <w:pPr>
              <w:adjustRightInd w:val="0"/>
              <w:snapToGrid w:val="0"/>
              <w:spacing w:before="0" w:beforeAutospacing="0" w:after="0" w:afterAutospacing="0"/>
              <w:ind w:left="0" w:right="0"/>
              <w:jc w:val="left"/>
              <w:rPr>
                <w:rFonts w:hint="default"/>
                <w:color w:val="auto"/>
                <w:kern w:val="0"/>
                <w:szCs w:val="21"/>
              </w:rPr>
            </w:pPr>
            <w:r>
              <w:rPr>
                <w:rFonts w:hint="default"/>
                <w:color w:val="auto"/>
                <w:kern w:val="0"/>
              </w:rPr>
              <w:t>NO</w:t>
            </w:r>
            <w:r>
              <w:rPr>
                <w:rFonts w:hint="eastAsia" w:ascii="宋体" w:hAnsi="宋体"/>
                <w:color w:val="auto"/>
                <w:kern w:val="0"/>
              </w:rPr>
              <w:t>跨度测试：标气浓度</w:t>
            </w:r>
            <w:r>
              <w:rPr>
                <w:rFonts w:hint="default"/>
                <w:color w:val="auto"/>
                <w:kern w:val="0"/>
              </w:rPr>
              <w:t>_________,</w:t>
            </w:r>
            <w:r>
              <w:rPr>
                <w:rFonts w:hint="eastAsia" w:ascii="宋体" w:hAnsi="宋体"/>
                <w:color w:val="auto"/>
                <w:kern w:val="0"/>
              </w:rPr>
              <w:t>有效期</w:t>
            </w:r>
            <w:r>
              <w:rPr>
                <w:rFonts w:hint="default"/>
                <w:color w:val="auto"/>
                <w:kern w:val="0"/>
              </w:rPr>
              <w:t>________</w:t>
            </w:r>
            <w:r>
              <w:rPr>
                <w:rFonts w:hint="eastAsia" w:ascii="宋体" w:hAnsi="宋体"/>
                <w:color w:val="auto"/>
                <w:kern w:val="0"/>
              </w:rPr>
              <w:t>。输出</w:t>
            </w:r>
            <w:r>
              <w:rPr>
                <w:rFonts w:hint="default"/>
                <w:color w:val="auto"/>
                <w:kern w:val="0"/>
                <w:u w:val="single"/>
              </w:rPr>
              <w:t xml:space="preserve">   </w:t>
            </w:r>
            <w:r>
              <w:rPr>
                <w:rFonts w:hint="eastAsia"/>
                <w:color w:val="auto"/>
                <w:kern w:val="0"/>
                <w:u w:val="single"/>
                <w:lang w:val="en-US" w:eastAsia="zh-CN"/>
              </w:rPr>
              <w:t xml:space="preserve"> </w:t>
            </w:r>
            <w:r>
              <w:rPr>
                <w:rFonts w:hint="default"/>
                <w:color w:val="auto"/>
                <w:kern w:val="0"/>
                <w:u w:val="single"/>
              </w:rPr>
              <w:t xml:space="preserve">   </w:t>
            </w:r>
            <w:r>
              <w:rPr>
                <w:rFonts w:hint="default"/>
                <w:color w:val="auto"/>
                <w:kern w:val="0"/>
              </w:rPr>
              <w:t>ppb</w:t>
            </w:r>
            <w:r>
              <w:rPr>
                <w:rFonts w:hint="eastAsia" w:ascii="宋体" w:hAnsi="宋体"/>
                <w:color w:val="auto"/>
                <w:kern w:val="0"/>
              </w:rPr>
              <w:t xml:space="preserve">，仪器响应 </w:t>
            </w:r>
            <w:r>
              <w:rPr>
                <w:rFonts w:hint="default"/>
                <w:color w:val="auto"/>
                <w:kern w:val="0"/>
                <w:u w:val="single"/>
              </w:rPr>
              <w:t xml:space="preserve">        </w:t>
            </w:r>
            <w:r>
              <w:rPr>
                <w:rFonts w:hint="default"/>
                <w:color w:val="auto"/>
                <w:kern w:val="0"/>
              </w:rPr>
              <w:t>ppb</w:t>
            </w:r>
            <w:r>
              <w:rPr>
                <w:rFonts w:hint="eastAsia" w:ascii="宋体" w:hAnsi="宋体"/>
                <w:color w:val="auto"/>
                <w:kern w:val="0"/>
              </w:rPr>
              <w:t>，</w:t>
            </w:r>
            <w:r>
              <w:rPr>
                <w:rFonts w:hint="default"/>
                <w:color w:val="auto"/>
                <w:kern w:val="0"/>
              </w:rPr>
              <w:t>NO</w:t>
            </w:r>
            <w:r>
              <w:rPr>
                <w:rFonts w:hint="default"/>
                <w:color w:val="auto"/>
                <w:kern w:val="0"/>
                <w:vertAlign w:val="subscript"/>
              </w:rPr>
              <w:t>2</w:t>
            </w:r>
            <w:r>
              <w:rPr>
                <w:rFonts w:hint="eastAsia"/>
                <w:color w:val="auto"/>
                <w:kern w:val="0"/>
              </w:rPr>
              <w:t>响应浓度</w:t>
            </w:r>
            <w:r>
              <w:rPr>
                <w:rFonts w:hint="default"/>
                <w:color w:val="auto"/>
                <w:kern w:val="0"/>
              </w:rPr>
              <w:t>_____ppb</w:t>
            </w:r>
            <w:r>
              <w:rPr>
                <w:rFonts w:hint="eastAsia" w:ascii="宋体" w:hAnsi="宋体"/>
                <w:color w:val="auto"/>
                <w:kern w:val="0"/>
              </w:rPr>
              <w:t>（</w:t>
            </w:r>
            <w:r>
              <w:rPr>
                <w:rFonts w:hint="default"/>
                <w:color w:val="auto"/>
                <w:kern w:val="0"/>
              </w:rPr>
              <w:t>&lt;±5</w:t>
            </w:r>
            <w:r>
              <w:rPr>
                <w:rFonts w:hint="eastAsia" w:ascii="宋体" w:hAnsi="宋体"/>
                <w:color w:val="auto"/>
                <w:kern w:val="0"/>
              </w:rPr>
              <w:t>），浓度误差</w:t>
            </w:r>
            <w:r>
              <w:rPr>
                <w:rFonts w:hint="default"/>
                <w:color w:val="auto"/>
                <w:kern w:val="0"/>
              </w:rPr>
              <w:t>______</w:t>
            </w:r>
            <w:r>
              <w:rPr>
                <w:rFonts w:hint="eastAsia" w:ascii="宋体" w:hAnsi="宋体"/>
                <w:color w:val="auto"/>
                <w:kern w:val="0"/>
              </w:rPr>
              <w:t>（</w:t>
            </w:r>
            <w:r>
              <w:rPr>
                <w:rFonts w:hint="default"/>
                <w:color w:val="auto"/>
                <w:kern w:val="0"/>
              </w:rPr>
              <w:t>≤±5%</w:t>
            </w:r>
            <w:r>
              <w:rPr>
                <w:rFonts w:hint="eastAsia" w:ascii="宋体" w:hAnsi="宋体"/>
                <w:color w:val="auto"/>
                <w:kern w:val="0"/>
              </w:rPr>
              <w:t>）</w:t>
            </w:r>
            <w:r>
              <w:rPr>
                <w:rFonts w:hint="eastAsia" w:ascii="宋体" w:hAnsi="宋体"/>
                <w:color w:val="auto"/>
                <w:kern w:val="0"/>
                <w:lang w:val="en-US" w:eastAsia="zh-CN"/>
              </w:rPr>
              <w:t xml:space="preserve"> </w:t>
            </w:r>
            <w:r>
              <w:rPr>
                <w:rFonts w:hint="eastAsia" w:ascii="宋体" w:hAnsi="宋体"/>
                <w:color w:val="auto"/>
                <w:kern w:val="0"/>
              </w:rPr>
              <w:t>响应时间</w:t>
            </w:r>
            <w:r>
              <w:rPr>
                <w:rFonts w:hint="default"/>
                <w:color w:val="auto"/>
                <w:kern w:val="0"/>
              </w:rPr>
              <w:t>t90</w:t>
            </w:r>
            <w:r>
              <w:rPr>
                <w:rFonts w:hint="eastAsia" w:ascii="宋体" w:hAnsi="宋体"/>
                <w:color w:val="auto"/>
                <w:kern w:val="0"/>
              </w:rPr>
              <w:t>：</w:t>
            </w:r>
            <w:r>
              <w:rPr>
                <w:rFonts w:hint="default"/>
                <w:color w:val="auto"/>
                <w:kern w:val="0"/>
                <w:u w:val="single"/>
              </w:rPr>
              <w:t xml:space="preserve">     </w:t>
            </w:r>
            <w:r>
              <w:rPr>
                <w:rFonts w:hint="default"/>
                <w:color w:val="auto"/>
                <w:kern w:val="0"/>
              </w:rPr>
              <w:t>min</w:t>
            </w:r>
            <w:r>
              <w:rPr>
                <w:rFonts w:hint="eastAsia" w:ascii="宋体" w:hAnsi="宋体"/>
                <w:color w:val="auto"/>
                <w:kern w:val="0"/>
              </w:rPr>
              <w:t>（</w:t>
            </w:r>
            <w:r>
              <w:rPr>
                <w:rFonts w:hint="default"/>
                <w:color w:val="auto"/>
                <w:kern w:val="0"/>
              </w:rPr>
              <w:t>≤5 min</w:t>
            </w:r>
            <w:r>
              <w:rPr>
                <w:rFonts w:hint="eastAsia" w:ascii="宋体" w:hAnsi="宋体"/>
                <w:color w:val="auto"/>
                <w:kern w:val="0"/>
              </w:rPr>
              <w:t>）</w:t>
            </w:r>
          </w:p>
        </w:tc>
        <w:tc>
          <w:tcPr>
            <w:tcW w:w="1060" w:type="dxa"/>
            <w:tcBorders>
              <w:top w:val="single" w:color="auto" w:sz="4" w:space="0"/>
              <w:left w:val="nil"/>
              <w:bottom w:val="single" w:color="auto" w:sz="4" w:space="0"/>
              <w:right w:val="single" w:color="auto" w:sz="4" w:space="0"/>
            </w:tcBorders>
            <w:noWrap w:val="0"/>
            <w:vAlign w:val="center"/>
          </w:tcPr>
          <w:p w14:paraId="7DAC7113">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2</w:t>
            </w:r>
          </w:p>
        </w:tc>
        <w:tc>
          <w:tcPr>
            <w:tcW w:w="1525" w:type="dxa"/>
            <w:tcBorders>
              <w:top w:val="single" w:color="auto" w:sz="4" w:space="0"/>
              <w:left w:val="nil"/>
              <w:bottom w:val="single" w:color="auto" w:sz="4" w:space="0"/>
              <w:right w:val="single" w:color="auto" w:sz="4" w:space="0"/>
            </w:tcBorders>
            <w:noWrap w:val="0"/>
            <w:vAlign w:val="center"/>
          </w:tcPr>
          <w:p w14:paraId="57CB778A">
            <w:pPr>
              <w:snapToGrid w:val="0"/>
              <w:spacing w:before="0" w:beforeAutospacing="0" w:after="0" w:afterAutospacing="0"/>
              <w:ind w:left="0" w:right="0"/>
              <w:rPr>
                <w:rFonts w:hint="default"/>
                <w:color w:val="auto"/>
                <w:szCs w:val="21"/>
              </w:rPr>
            </w:pPr>
            <w:r>
              <w:rPr>
                <w:rFonts w:hint="eastAsia"/>
                <w:color w:val="auto"/>
              </w:rPr>
              <w:t>一项不满足扣</w:t>
            </w:r>
            <w:r>
              <w:rPr>
                <w:rFonts w:hint="eastAsia"/>
                <w:color w:val="auto"/>
                <w:lang w:val="en-US" w:eastAsia="zh-CN"/>
              </w:rPr>
              <w:t>2</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4A370EDF">
            <w:pPr>
              <w:adjustRightInd w:val="0"/>
              <w:snapToGrid w:val="0"/>
              <w:spacing w:before="0" w:beforeAutospacing="0" w:after="0" w:afterAutospacing="0"/>
              <w:ind w:left="0" w:right="0"/>
              <w:jc w:val="center"/>
              <w:rPr>
                <w:rFonts w:hint="default"/>
                <w:color w:val="auto"/>
                <w:szCs w:val="21"/>
              </w:rPr>
            </w:pPr>
          </w:p>
        </w:tc>
      </w:tr>
      <w:tr w14:paraId="500EE62C">
        <w:tblPrEx>
          <w:tblCellMar>
            <w:top w:w="0" w:type="dxa"/>
            <w:left w:w="108" w:type="dxa"/>
            <w:bottom w:w="0" w:type="dxa"/>
            <w:right w:w="108" w:type="dxa"/>
          </w:tblCellMar>
        </w:tblPrEx>
        <w:trPr>
          <w:trHeight w:val="2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667B151">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0CC7A71C">
            <w:pPr>
              <w:adjustRightInd w:val="0"/>
              <w:snapToGrid w:val="0"/>
              <w:spacing w:before="0" w:beforeAutospacing="0" w:after="0" w:afterAutospacing="0"/>
              <w:ind w:left="0" w:right="0"/>
              <w:jc w:val="left"/>
              <w:rPr>
                <w:rFonts w:hint="default"/>
                <w:color w:val="auto"/>
                <w:kern w:val="0"/>
                <w:szCs w:val="21"/>
              </w:rPr>
            </w:pPr>
            <w:r>
              <w:rPr>
                <w:rFonts w:hint="default"/>
                <w:color w:val="auto"/>
                <w:kern w:val="0"/>
              </w:rPr>
              <w:t>NO</w:t>
            </w:r>
            <w:r>
              <w:rPr>
                <w:rFonts w:hint="eastAsia" w:ascii="宋体" w:hAnsi="宋体"/>
                <w:color w:val="auto"/>
                <w:kern w:val="0"/>
              </w:rPr>
              <w:t>光电倍增管电压</w:t>
            </w:r>
            <w:r>
              <w:rPr>
                <w:rFonts w:hint="default"/>
                <w:color w:val="auto"/>
                <w:kern w:val="0"/>
              </w:rPr>
              <w:t xml:space="preserve">______,      </w:t>
            </w:r>
            <w:r>
              <w:rPr>
                <w:rFonts w:hint="eastAsia" w:ascii="宋体" w:hAnsi="宋体"/>
                <w:color w:val="auto"/>
                <w:kern w:val="0"/>
              </w:rPr>
              <w:t>斜率</w:t>
            </w:r>
            <w:r>
              <w:rPr>
                <w:rFonts w:hint="default"/>
                <w:color w:val="auto"/>
                <w:kern w:val="0"/>
              </w:rPr>
              <w:t xml:space="preserve">________,       </w:t>
            </w:r>
            <w:r>
              <w:rPr>
                <w:rFonts w:hint="eastAsia" w:ascii="宋体" w:hAnsi="宋体"/>
                <w:color w:val="auto"/>
                <w:kern w:val="0"/>
              </w:rPr>
              <w:t>截距</w:t>
            </w:r>
            <w:r>
              <w:rPr>
                <w:rFonts w:hint="default"/>
                <w:color w:val="auto"/>
                <w:kern w:val="0"/>
              </w:rPr>
              <w:t>_______</w:t>
            </w:r>
          </w:p>
        </w:tc>
        <w:tc>
          <w:tcPr>
            <w:tcW w:w="1060" w:type="dxa"/>
            <w:tcBorders>
              <w:top w:val="single" w:color="auto" w:sz="4" w:space="0"/>
              <w:left w:val="nil"/>
              <w:bottom w:val="single" w:color="auto" w:sz="4" w:space="0"/>
              <w:right w:val="single" w:color="auto" w:sz="4" w:space="0"/>
            </w:tcBorders>
            <w:noWrap w:val="0"/>
            <w:vAlign w:val="center"/>
          </w:tcPr>
          <w:p w14:paraId="3F788E31">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2</w:t>
            </w:r>
          </w:p>
        </w:tc>
        <w:tc>
          <w:tcPr>
            <w:tcW w:w="1525" w:type="dxa"/>
            <w:tcBorders>
              <w:top w:val="single" w:color="auto" w:sz="4" w:space="0"/>
              <w:left w:val="nil"/>
              <w:bottom w:val="single" w:color="auto" w:sz="4" w:space="0"/>
              <w:right w:val="single" w:color="auto" w:sz="4" w:space="0"/>
            </w:tcBorders>
            <w:noWrap w:val="0"/>
            <w:vAlign w:val="center"/>
          </w:tcPr>
          <w:p w14:paraId="017202A0">
            <w:pPr>
              <w:snapToGrid w:val="0"/>
              <w:spacing w:before="0" w:beforeAutospacing="0" w:after="0" w:afterAutospacing="0"/>
              <w:ind w:left="0" w:right="0"/>
              <w:rPr>
                <w:rFonts w:hint="default"/>
                <w:color w:val="auto"/>
                <w:szCs w:val="21"/>
              </w:rPr>
            </w:pPr>
            <w:r>
              <w:rPr>
                <w:rFonts w:hint="eastAsia"/>
                <w:color w:val="auto"/>
              </w:rPr>
              <w:t>一项偏离正常值扣</w:t>
            </w:r>
            <w:r>
              <w:rPr>
                <w:rFonts w:hint="eastAsia"/>
                <w:color w:val="auto"/>
                <w:lang w:val="en-US" w:eastAsia="zh-CN"/>
              </w:rPr>
              <w:t>2</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4C07CFDD">
            <w:pPr>
              <w:adjustRightInd w:val="0"/>
              <w:snapToGrid w:val="0"/>
              <w:spacing w:before="0" w:beforeAutospacing="0" w:after="0" w:afterAutospacing="0"/>
              <w:ind w:left="0" w:right="0"/>
              <w:jc w:val="center"/>
              <w:rPr>
                <w:rFonts w:hint="default"/>
                <w:color w:val="auto"/>
                <w:szCs w:val="21"/>
              </w:rPr>
            </w:pPr>
          </w:p>
        </w:tc>
      </w:tr>
      <w:tr w14:paraId="36EE3A1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7CB50F0">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3E85151A">
            <w:pPr>
              <w:adjustRightInd w:val="0"/>
              <w:snapToGrid w:val="0"/>
              <w:spacing w:before="0" w:beforeAutospacing="0" w:after="0" w:afterAutospacing="0"/>
              <w:ind w:left="0" w:right="0"/>
              <w:jc w:val="left"/>
              <w:rPr>
                <w:rFonts w:hint="default"/>
                <w:color w:val="auto"/>
                <w:kern w:val="0"/>
                <w:szCs w:val="21"/>
              </w:rPr>
            </w:pPr>
            <w:r>
              <w:rPr>
                <w:rFonts w:hint="default"/>
                <w:color w:val="auto"/>
                <w:kern w:val="0"/>
              </w:rPr>
              <w:t>CO</w:t>
            </w:r>
            <w:r>
              <w:rPr>
                <w:rFonts w:hint="eastAsia" w:ascii="宋体" w:hAnsi="宋体"/>
                <w:color w:val="auto"/>
                <w:kern w:val="0"/>
              </w:rPr>
              <w:t>跨度测试：标气浓度</w:t>
            </w:r>
            <w:r>
              <w:rPr>
                <w:rFonts w:hint="default"/>
                <w:color w:val="auto"/>
                <w:kern w:val="0"/>
              </w:rPr>
              <w:t>_________,</w:t>
            </w:r>
            <w:r>
              <w:rPr>
                <w:rFonts w:hint="eastAsia" w:ascii="宋体" w:hAnsi="宋体"/>
                <w:color w:val="auto"/>
                <w:kern w:val="0"/>
              </w:rPr>
              <w:t>有效期</w:t>
            </w:r>
            <w:r>
              <w:rPr>
                <w:rFonts w:hint="default"/>
                <w:color w:val="auto"/>
                <w:kern w:val="0"/>
              </w:rPr>
              <w:t>____</w:t>
            </w:r>
            <w:r>
              <w:rPr>
                <w:rFonts w:hint="eastAsia"/>
                <w:color w:val="auto"/>
                <w:kern w:val="0"/>
                <w:u w:val="single"/>
                <w:lang w:val="en-US" w:eastAsia="zh-CN"/>
              </w:rPr>
              <w:t xml:space="preserve">  </w:t>
            </w:r>
            <w:r>
              <w:rPr>
                <w:rFonts w:hint="default"/>
                <w:color w:val="auto"/>
                <w:kern w:val="0"/>
                <w:u w:val="single"/>
              </w:rPr>
              <w:t>_</w:t>
            </w:r>
            <w:r>
              <w:rPr>
                <w:rFonts w:hint="default"/>
                <w:color w:val="auto"/>
                <w:kern w:val="0"/>
              </w:rPr>
              <w:t>___</w:t>
            </w:r>
            <w:r>
              <w:rPr>
                <w:rFonts w:hint="eastAsia" w:ascii="宋体" w:hAnsi="宋体"/>
                <w:color w:val="auto"/>
                <w:kern w:val="0"/>
              </w:rPr>
              <w:t>。输出：</w:t>
            </w:r>
            <w:r>
              <w:rPr>
                <w:rFonts w:hint="default"/>
                <w:color w:val="auto"/>
                <w:kern w:val="0"/>
                <w:u w:val="single"/>
              </w:rPr>
              <w:t xml:space="preserve">     </w:t>
            </w:r>
            <w:r>
              <w:rPr>
                <w:rFonts w:hint="default"/>
                <w:color w:val="auto"/>
                <w:kern w:val="0"/>
              </w:rPr>
              <w:t>ppm</w:t>
            </w:r>
            <w:r>
              <w:rPr>
                <w:rFonts w:hint="eastAsia" w:ascii="宋体" w:hAnsi="宋体"/>
                <w:color w:val="auto"/>
                <w:kern w:val="0"/>
              </w:rPr>
              <w:t>，仪器响应</w:t>
            </w:r>
            <w:r>
              <w:rPr>
                <w:rFonts w:hint="default"/>
                <w:color w:val="auto"/>
                <w:kern w:val="0"/>
                <w:u w:val="single"/>
              </w:rPr>
              <w:t xml:space="preserve">        </w:t>
            </w:r>
            <w:r>
              <w:rPr>
                <w:rFonts w:hint="default"/>
                <w:color w:val="auto"/>
                <w:kern w:val="0"/>
              </w:rPr>
              <w:t>ppm</w:t>
            </w:r>
            <w:r>
              <w:rPr>
                <w:rFonts w:hint="eastAsia" w:ascii="宋体" w:hAnsi="宋体"/>
                <w:color w:val="auto"/>
                <w:kern w:val="0"/>
              </w:rPr>
              <w:t>，浓度误差</w:t>
            </w:r>
            <w:r>
              <w:rPr>
                <w:rFonts w:hint="default"/>
                <w:color w:val="auto"/>
                <w:kern w:val="0"/>
              </w:rPr>
              <w:t>_____</w:t>
            </w:r>
            <w:r>
              <w:rPr>
                <w:rFonts w:hint="eastAsia" w:ascii="宋体" w:hAnsi="宋体"/>
                <w:color w:val="auto"/>
                <w:kern w:val="0"/>
              </w:rPr>
              <w:t>（</w:t>
            </w:r>
            <w:r>
              <w:rPr>
                <w:rFonts w:hint="default"/>
                <w:color w:val="auto"/>
                <w:kern w:val="0"/>
              </w:rPr>
              <w:t>≤±5%</w:t>
            </w:r>
            <w:r>
              <w:rPr>
                <w:rFonts w:hint="eastAsia" w:ascii="宋体" w:hAnsi="宋体"/>
                <w:color w:val="auto"/>
                <w:kern w:val="0"/>
              </w:rPr>
              <w:t>）响应时间</w:t>
            </w:r>
            <w:r>
              <w:rPr>
                <w:rFonts w:hint="default"/>
                <w:color w:val="auto"/>
                <w:kern w:val="0"/>
              </w:rPr>
              <w:t>t90</w:t>
            </w:r>
            <w:r>
              <w:rPr>
                <w:rFonts w:hint="eastAsia" w:ascii="宋体" w:hAnsi="宋体"/>
                <w:color w:val="auto"/>
                <w:kern w:val="0"/>
              </w:rPr>
              <w:t>：</w:t>
            </w:r>
            <w:r>
              <w:rPr>
                <w:rFonts w:hint="default"/>
                <w:color w:val="auto"/>
                <w:kern w:val="0"/>
                <w:u w:val="single"/>
              </w:rPr>
              <w:t xml:space="preserve">       </w:t>
            </w:r>
            <w:r>
              <w:rPr>
                <w:rFonts w:hint="default"/>
                <w:color w:val="auto"/>
                <w:kern w:val="0"/>
              </w:rPr>
              <w:t>min</w:t>
            </w:r>
            <w:r>
              <w:rPr>
                <w:rFonts w:hint="eastAsia" w:ascii="宋体" w:hAnsi="宋体"/>
                <w:color w:val="auto"/>
                <w:kern w:val="0"/>
              </w:rPr>
              <w:t>（</w:t>
            </w:r>
            <w:r>
              <w:rPr>
                <w:rFonts w:hint="default"/>
                <w:color w:val="auto"/>
                <w:kern w:val="0"/>
              </w:rPr>
              <w:t>≤5 min</w:t>
            </w:r>
            <w:r>
              <w:rPr>
                <w:rFonts w:hint="eastAsia" w:ascii="宋体" w:hAnsi="宋体"/>
                <w:color w:val="auto"/>
                <w:kern w:val="0"/>
              </w:rPr>
              <w:t>）</w:t>
            </w:r>
          </w:p>
        </w:tc>
        <w:tc>
          <w:tcPr>
            <w:tcW w:w="1060" w:type="dxa"/>
            <w:tcBorders>
              <w:top w:val="single" w:color="auto" w:sz="4" w:space="0"/>
              <w:left w:val="nil"/>
              <w:bottom w:val="single" w:color="auto" w:sz="4" w:space="0"/>
              <w:right w:val="single" w:color="auto" w:sz="4" w:space="0"/>
            </w:tcBorders>
            <w:noWrap w:val="0"/>
            <w:vAlign w:val="center"/>
          </w:tcPr>
          <w:p w14:paraId="4B0B129F">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2</w:t>
            </w:r>
          </w:p>
        </w:tc>
        <w:tc>
          <w:tcPr>
            <w:tcW w:w="1525" w:type="dxa"/>
            <w:tcBorders>
              <w:top w:val="single" w:color="auto" w:sz="4" w:space="0"/>
              <w:left w:val="nil"/>
              <w:bottom w:val="single" w:color="auto" w:sz="4" w:space="0"/>
              <w:right w:val="single" w:color="auto" w:sz="4" w:space="0"/>
            </w:tcBorders>
            <w:noWrap w:val="0"/>
            <w:vAlign w:val="center"/>
          </w:tcPr>
          <w:p w14:paraId="5EE4BB87">
            <w:pPr>
              <w:snapToGrid w:val="0"/>
              <w:spacing w:before="0" w:beforeAutospacing="0" w:after="0" w:afterAutospacing="0"/>
              <w:ind w:left="0" w:right="0"/>
              <w:rPr>
                <w:rFonts w:hint="default"/>
                <w:color w:val="auto"/>
                <w:szCs w:val="21"/>
              </w:rPr>
            </w:pPr>
            <w:r>
              <w:rPr>
                <w:rFonts w:hint="eastAsia"/>
                <w:color w:val="auto"/>
              </w:rPr>
              <w:t>一项不满足扣</w:t>
            </w:r>
            <w:r>
              <w:rPr>
                <w:rFonts w:hint="eastAsia"/>
                <w:color w:val="auto"/>
                <w:lang w:val="en-US" w:eastAsia="zh-CN"/>
              </w:rPr>
              <w:t>2</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32238FC4">
            <w:pPr>
              <w:adjustRightInd w:val="0"/>
              <w:snapToGrid w:val="0"/>
              <w:spacing w:before="0" w:beforeAutospacing="0" w:after="0" w:afterAutospacing="0"/>
              <w:ind w:left="0" w:right="0"/>
              <w:jc w:val="center"/>
              <w:rPr>
                <w:rFonts w:hint="default"/>
                <w:color w:val="auto"/>
                <w:szCs w:val="21"/>
              </w:rPr>
            </w:pPr>
          </w:p>
        </w:tc>
      </w:tr>
      <w:tr w14:paraId="407A62A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38C42BB3">
            <w:pPr>
              <w:widowControl/>
              <w:spacing w:before="0" w:beforeAutospacing="0" w:after="0" w:afterAutospacing="0"/>
              <w:ind w:left="0" w:right="0"/>
              <w:jc w:val="left"/>
              <w:rPr>
                <w:rFonts w:hint="default"/>
                <w:b/>
                <w:bCs/>
                <w:color w:val="auto"/>
                <w:szCs w:val="21"/>
              </w:rPr>
            </w:pPr>
          </w:p>
        </w:tc>
        <w:tc>
          <w:tcPr>
            <w:tcW w:w="5400" w:type="dxa"/>
            <w:tcBorders>
              <w:top w:val="single" w:color="auto" w:sz="4" w:space="0"/>
              <w:left w:val="nil"/>
              <w:bottom w:val="single" w:color="auto" w:sz="4" w:space="0"/>
              <w:right w:val="single" w:color="auto" w:sz="4" w:space="0"/>
            </w:tcBorders>
            <w:noWrap w:val="0"/>
            <w:vAlign w:val="center"/>
          </w:tcPr>
          <w:p w14:paraId="00E5C600">
            <w:pPr>
              <w:adjustRightInd w:val="0"/>
              <w:snapToGrid w:val="0"/>
              <w:spacing w:before="0" w:beforeAutospacing="0" w:after="0" w:afterAutospacing="0"/>
              <w:ind w:left="0" w:right="0"/>
              <w:jc w:val="left"/>
              <w:rPr>
                <w:rFonts w:hint="default"/>
                <w:color w:val="auto"/>
                <w:kern w:val="0"/>
                <w:szCs w:val="21"/>
              </w:rPr>
            </w:pPr>
            <w:r>
              <w:rPr>
                <w:rFonts w:hint="default"/>
                <w:color w:val="auto"/>
                <w:kern w:val="0"/>
              </w:rPr>
              <w:t>O</w:t>
            </w:r>
            <w:r>
              <w:rPr>
                <w:rFonts w:hint="default"/>
                <w:color w:val="auto"/>
                <w:kern w:val="0"/>
                <w:vertAlign w:val="subscript"/>
              </w:rPr>
              <w:t>3</w:t>
            </w:r>
            <w:r>
              <w:rPr>
                <w:rFonts w:hint="eastAsia"/>
                <w:color w:val="auto"/>
                <w:kern w:val="0"/>
              </w:rPr>
              <w:t>跨度测试：输出：</w:t>
            </w:r>
            <w:r>
              <w:rPr>
                <w:rFonts w:hint="default"/>
                <w:color w:val="auto"/>
                <w:kern w:val="0"/>
                <w:u w:val="single"/>
              </w:rPr>
              <w:t xml:space="preserve">    </w:t>
            </w:r>
            <w:r>
              <w:rPr>
                <w:rFonts w:hint="default"/>
                <w:color w:val="auto"/>
                <w:kern w:val="0"/>
              </w:rPr>
              <w:t>ppb</w:t>
            </w:r>
            <w:r>
              <w:rPr>
                <w:rFonts w:hint="eastAsia" w:ascii="宋体" w:hAnsi="宋体"/>
                <w:color w:val="auto"/>
                <w:kern w:val="0"/>
              </w:rPr>
              <w:t xml:space="preserve">，仪器响应浓度 </w:t>
            </w:r>
            <w:r>
              <w:rPr>
                <w:rFonts w:hint="default"/>
                <w:color w:val="auto"/>
                <w:kern w:val="0"/>
                <w:u w:val="single"/>
              </w:rPr>
              <w:t xml:space="preserve">       </w:t>
            </w:r>
            <w:r>
              <w:rPr>
                <w:rFonts w:hint="default"/>
                <w:color w:val="auto"/>
                <w:kern w:val="0"/>
              </w:rPr>
              <w:t>ppb</w:t>
            </w:r>
            <w:r>
              <w:rPr>
                <w:rFonts w:hint="eastAsia" w:ascii="宋体" w:hAnsi="宋体"/>
                <w:color w:val="auto"/>
                <w:kern w:val="0"/>
              </w:rPr>
              <w:t>，浓度误差</w:t>
            </w:r>
            <w:r>
              <w:rPr>
                <w:rFonts w:hint="default"/>
                <w:color w:val="auto"/>
                <w:kern w:val="0"/>
                <w:u w:val="single"/>
              </w:rPr>
              <w:t xml:space="preserve">       </w:t>
            </w:r>
            <w:r>
              <w:rPr>
                <w:rFonts w:hint="eastAsia"/>
                <w:color w:val="auto"/>
                <w:kern w:val="0"/>
              </w:rPr>
              <w:t>（</w:t>
            </w:r>
            <w:r>
              <w:rPr>
                <w:rFonts w:hint="default"/>
                <w:color w:val="auto"/>
                <w:kern w:val="0"/>
              </w:rPr>
              <w:t>≤±5%</w:t>
            </w:r>
            <w:r>
              <w:rPr>
                <w:rFonts w:hint="eastAsia" w:ascii="宋体" w:hAnsi="宋体"/>
                <w:color w:val="auto"/>
                <w:kern w:val="0"/>
              </w:rPr>
              <w:t>）</w:t>
            </w:r>
          </w:p>
          <w:p w14:paraId="2253FDE6">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响应时间</w:t>
            </w:r>
            <w:r>
              <w:rPr>
                <w:rFonts w:hint="default"/>
                <w:color w:val="auto"/>
                <w:kern w:val="0"/>
              </w:rPr>
              <w:t>t90</w:t>
            </w:r>
            <w:r>
              <w:rPr>
                <w:rFonts w:hint="eastAsia" w:ascii="宋体" w:hAnsi="宋体"/>
                <w:color w:val="auto"/>
                <w:kern w:val="0"/>
              </w:rPr>
              <w:t>：</w:t>
            </w:r>
            <w:r>
              <w:rPr>
                <w:rFonts w:hint="default"/>
                <w:color w:val="auto"/>
                <w:kern w:val="0"/>
                <w:u w:val="single"/>
              </w:rPr>
              <w:t xml:space="preserve">         </w:t>
            </w:r>
            <w:r>
              <w:rPr>
                <w:rFonts w:hint="default"/>
                <w:color w:val="auto"/>
                <w:kern w:val="0"/>
              </w:rPr>
              <w:t>min</w:t>
            </w:r>
            <w:r>
              <w:rPr>
                <w:rFonts w:hint="eastAsia" w:ascii="宋体" w:hAnsi="宋体"/>
                <w:color w:val="auto"/>
                <w:kern w:val="0"/>
              </w:rPr>
              <w:t>（</w:t>
            </w:r>
            <w:r>
              <w:rPr>
                <w:rFonts w:hint="default"/>
                <w:color w:val="auto"/>
                <w:kern w:val="0"/>
              </w:rPr>
              <w:t>≤5 min</w:t>
            </w:r>
            <w:r>
              <w:rPr>
                <w:rFonts w:hint="eastAsia" w:ascii="宋体" w:hAnsi="宋体"/>
                <w:color w:val="auto"/>
                <w:kern w:val="0"/>
              </w:rPr>
              <w:t>）</w:t>
            </w:r>
          </w:p>
        </w:tc>
        <w:tc>
          <w:tcPr>
            <w:tcW w:w="1060" w:type="dxa"/>
            <w:tcBorders>
              <w:top w:val="single" w:color="auto" w:sz="4" w:space="0"/>
              <w:left w:val="nil"/>
              <w:bottom w:val="single" w:color="auto" w:sz="4" w:space="0"/>
              <w:right w:val="single" w:color="auto" w:sz="4" w:space="0"/>
            </w:tcBorders>
            <w:noWrap w:val="0"/>
            <w:vAlign w:val="center"/>
          </w:tcPr>
          <w:p w14:paraId="2B93E6CB">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2</w:t>
            </w:r>
          </w:p>
        </w:tc>
        <w:tc>
          <w:tcPr>
            <w:tcW w:w="1525" w:type="dxa"/>
            <w:tcBorders>
              <w:top w:val="single" w:color="auto" w:sz="4" w:space="0"/>
              <w:left w:val="nil"/>
              <w:bottom w:val="single" w:color="auto" w:sz="4" w:space="0"/>
              <w:right w:val="single" w:color="auto" w:sz="4" w:space="0"/>
            </w:tcBorders>
            <w:noWrap w:val="0"/>
            <w:vAlign w:val="center"/>
          </w:tcPr>
          <w:p w14:paraId="08C8C1D3">
            <w:pPr>
              <w:snapToGrid w:val="0"/>
              <w:spacing w:before="0" w:beforeAutospacing="0" w:after="0" w:afterAutospacing="0"/>
              <w:ind w:left="0" w:right="0"/>
              <w:rPr>
                <w:rFonts w:hint="default"/>
                <w:color w:val="auto"/>
                <w:szCs w:val="21"/>
              </w:rPr>
            </w:pPr>
            <w:r>
              <w:rPr>
                <w:rFonts w:hint="eastAsia"/>
                <w:color w:val="auto"/>
              </w:rPr>
              <w:t>一项不满足扣</w:t>
            </w:r>
            <w:r>
              <w:rPr>
                <w:rFonts w:hint="eastAsia"/>
                <w:color w:val="auto"/>
                <w:lang w:val="en-US" w:eastAsia="zh-CN"/>
              </w:rPr>
              <w:t>2</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156F19F2">
            <w:pPr>
              <w:adjustRightInd w:val="0"/>
              <w:snapToGrid w:val="0"/>
              <w:spacing w:before="0" w:beforeAutospacing="0" w:after="0" w:afterAutospacing="0"/>
              <w:ind w:left="0" w:right="0"/>
              <w:jc w:val="center"/>
              <w:rPr>
                <w:rFonts w:hint="default"/>
                <w:color w:val="auto"/>
                <w:szCs w:val="21"/>
              </w:rPr>
            </w:pPr>
          </w:p>
        </w:tc>
      </w:tr>
      <w:tr w14:paraId="59D89F75">
        <w:tblPrEx>
          <w:tblCellMar>
            <w:top w:w="0" w:type="dxa"/>
            <w:left w:w="108" w:type="dxa"/>
            <w:bottom w:w="0" w:type="dxa"/>
            <w:right w:w="108" w:type="dxa"/>
          </w:tblCellMar>
        </w:tblPrEx>
        <w:trPr>
          <w:trHeight w:val="266"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625ADE59">
            <w:pPr>
              <w:adjustRightInd w:val="0"/>
              <w:snapToGrid w:val="0"/>
              <w:spacing w:before="0" w:beforeAutospacing="0" w:after="0" w:afterAutospacing="0"/>
              <w:ind w:left="0" w:right="0"/>
              <w:jc w:val="left"/>
              <w:rPr>
                <w:rFonts w:hint="default"/>
                <w:b/>
                <w:bCs/>
                <w:color w:val="auto"/>
                <w:kern w:val="0"/>
                <w:szCs w:val="21"/>
              </w:rPr>
            </w:pPr>
            <w:r>
              <w:rPr>
                <w:rFonts w:hint="default"/>
                <w:b/>
                <w:bCs/>
                <w:color w:val="auto"/>
                <w:kern w:val="0"/>
              </w:rPr>
              <w:t>3.</w:t>
            </w:r>
            <w:r>
              <w:rPr>
                <w:rFonts w:hint="eastAsia" w:ascii="宋体" w:hAnsi="宋体"/>
                <w:b/>
                <w:bCs/>
                <w:color w:val="auto"/>
                <w:kern w:val="0"/>
              </w:rPr>
              <w:t>记录及监测档案的完整性</w:t>
            </w:r>
          </w:p>
          <w:p w14:paraId="527A5514">
            <w:pPr>
              <w:adjustRightInd w:val="0"/>
              <w:snapToGrid w:val="0"/>
              <w:spacing w:before="0" w:beforeAutospacing="0" w:after="0" w:afterAutospacing="0"/>
              <w:ind w:left="0" w:right="0"/>
              <w:jc w:val="left"/>
              <w:rPr>
                <w:rFonts w:hint="default"/>
                <w:b/>
                <w:bCs/>
                <w:color w:val="auto"/>
                <w:kern w:val="0"/>
                <w:szCs w:val="21"/>
              </w:rPr>
            </w:pPr>
            <w:r>
              <w:rPr>
                <w:rFonts w:hint="eastAsia"/>
                <w:b/>
                <w:bCs/>
                <w:color w:val="auto"/>
                <w:kern w:val="0"/>
              </w:rPr>
              <w:t>（</w:t>
            </w:r>
            <w:r>
              <w:rPr>
                <w:rFonts w:hint="eastAsia"/>
                <w:b/>
                <w:bCs/>
                <w:color w:val="auto"/>
                <w:kern w:val="0"/>
                <w:lang w:val="en-US" w:eastAsia="zh-CN"/>
              </w:rPr>
              <w:t>11.5</w:t>
            </w:r>
            <w:r>
              <w:rPr>
                <w:rFonts w:hint="eastAsia" w:ascii="宋体" w:hAnsi="宋体"/>
                <w:b/>
                <w:bCs/>
                <w:color w:val="auto"/>
                <w:kern w:val="0"/>
              </w:rPr>
              <w:t>分）</w:t>
            </w:r>
          </w:p>
        </w:tc>
        <w:tc>
          <w:tcPr>
            <w:tcW w:w="5400" w:type="dxa"/>
            <w:tcBorders>
              <w:top w:val="single" w:color="auto" w:sz="4" w:space="0"/>
              <w:left w:val="nil"/>
              <w:bottom w:val="single" w:color="auto" w:sz="4" w:space="0"/>
              <w:right w:val="single" w:color="auto" w:sz="4" w:space="0"/>
            </w:tcBorders>
            <w:noWrap w:val="0"/>
            <w:vAlign w:val="center"/>
          </w:tcPr>
          <w:p w14:paraId="3D40CB19">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按规定对设备巡检维护，填写巡检记录</w:t>
            </w:r>
          </w:p>
        </w:tc>
        <w:tc>
          <w:tcPr>
            <w:tcW w:w="1060" w:type="dxa"/>
            <w:tcBorders>
              <w:top w:val="single" w:color="auto" w:sz="4" w:space="0"/>
              <w:left w:val="nil"/>
              <w:bottom w:val="single" w:color="auto" w:sz="4" w:space="0"/>
              <w:right w:val="single" w:color="auto" w:sz="4" w:space="0"/>
            </w:tcBorders>
            <w:noWrap w:val="0"/>
            <w:vAlign w:val="center"/>
          </w:tcPr>
          <w:p w14:paraId="24A3404A">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76D8220A">
            <w:pPr>
              <w:snapToGrid w:val="0"/>
              <w:spacing w:before="0" w:beforeAutospacing="0" w:after="0" w:afterAutospacing="0"/>
              <w:ind w:left="0" w:right="0"/>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5E53CEA9">
            <w:pPr>
              <w:adjustRightInd w:val="0"/>
              <w:snapToGrid w:val="0"/>
              <w:spacing w:before="0" w:beforeAutospacing="0" w:after="0" w:afterAutospacing="0"/>
              <w:ind w:left="0" w:right="0"/>
              <w:jc w:val="center"/>
              <w:rPr>
                <w:rFonts w:hint="default"/>
                <w:color w:val="auto"/>
                <w:kern w:val="0"/>
                <w:szCs w:val="21"/>
              </w:rPr>
            </w:pPr>
          </w:p>
        </w:tc>
      </w:tr>
      <w:tr w14:paraId="6CFA2B9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3E07D116">
            <w:pPr>
              <w:widowControl/>
              <w:spacing w:before="0" w:beforeAutospacing="0" w:after="0" w:afterAutospacing="0"/>
              <w:ind w:left="0" w:right="0"/>
              <w:jc w:val="left"/>
              <w:rPr>
                <w:rFonts w:hint="default"/>
                <w:b/>
                <w:bCs/>
                <w:color w:val="auto"/>
                <w:kern w:val="0"/>
                <w:szCs w:val="21"/>
              </w:rPr>
            </w:pPr>
          </w:p>
        </w:tc>
        <w:tc>
          <w:tcPr>
            <w:tcW w:w="5400" w:type="dxa"/>
            <w:tcBorders>
              <w:top w:val="single" w:color="auto" w:sz="4" w:space="0"/>
              <w:left w:val="nil"/>
              <w:bottom w:val="single" w:color="auto" w:sz="4" w:space="0"/>
              <w:right w:val="single" w:color="auto" w:sz="4" w:space="0"/>
            </w:tcBorders>
            <w:noWrap w:val="0"/>
            <w:vAlign w:val="center"/>
          </w:tcPr>
          <w:p w14:paraId="2E5C31D7">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用于校准的设备（流量计、温度计、大气压计）是否每年通过计量检定</w:t>
            </w:r>
            <w:r>
              <w:rPr>
                <w:rFonts w:hint="default"/>
                <w:color w:val="auto"/>
                <w:kern w:val="0"/>
              </w:rPr>
              <w:t xml:space="preserve"> </w:t>
            </w:r>
          </w:p>
        </w:tc>
        <w:tc>
          <w:tcPr>
            <w:tcW w:w="1060" w:type="dxa"/>
            <w:tcBorders>
              <w:top w:val="single" w:color="auto" w:sz="4" w:space="0"/>
              <w:left w:val="nil"/>
              <w:bottom w:val="single" w:color="auto" w:sz="4" w:space="0"/>
              <w:right w:val="single" w:color="auto" w:sz="4" w:space="0"/>
            </w:tcBorders>
            <w:noWrap w:val="0"/>
            <w:vAlign w:val="center"/>
          </w:tcPr>
          <w:p w14:paraId="2130E76D">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lang w:val="en-US" w:eastAsia="zh-CN"/>
              </w:rPr>
              <w:t>1.5</w:t>
            </w:r>
          </w:p>
        </w:tc>
        <w:tc>
          <w:tcPr>
            <w:tcW w:w="1525" w:type="dxa"/>
            <w:tcBorders>
              <w:top w:val="single" w:color="auto" w:sz="4" w:space="0"/>
              <w:left w:val="nil"/>
              <w:bottom w:val="single" w:color="auto" w:sz="4" w:space="0"/>
              <w:right w:val="single" w:color="auto" w:sz="4" w:space="0"/>
            </w:tcBorders>
            <w:noWrap w:val="0"/>
            <w:vAlign w:val="center"/>
          </w:tcPr>
          <w:p w14:paraId="22DD160B">
            <w:pPr>
              <w:snapToGrid w:val="0"/>
              <w:spacing w:before="0" w:beforeAutospacing="0" w:after="0" w:afterAutospacing="0"/>
              <w:ind w:left="0" w:right="0"/>
              <w:rPr>
                <w:rFonts w:hint="default"/>
                <w:color w:val="auto"/>
                <w:szCs w:val="21"/>
              </w:rPr>
            </w:pPr>
            <w:r>
              <w:rPr>
                <w:rFonts w:hint="eastAsia"/>
                <w:color w:val="auto"/>
              </w:rPr>
              <w:t>一项不满足扣</w:t>
            </w:r>
            <w:r>
              <w:rPr>
                <w:rFonts w:hint="eastAsia"/>
                <w:color w:val="auto"/>
                <w:lang w:val="en-US" w:eastAsia="zh-CN"/>
              </w:rPr>
              <w:t>1.5</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62127EE1">
            <w:pPr>
              <w:adjustRightInd w:val="0"/>
              <w:snapToGrid w:val="0"/>
              <w:spacing w:before="0" w:beforeAutospacing="0" w:after="0" w:afterAutospacing="0"/>
              <w:ind w:left="0" w:right="0"/>
              <w:jc w:val="center"/>
              <w:rPr>
                <w:rFonts w:hint="default"/>
                <w:color w:val="auto"/>
                <w:kern w:val="0"/>
                <w:szCs w:val="21"/>
              </w:rPr>
            </w:pPr>
          </w:p>
        </w:tc>
      </w:tr>
      <w:tr w14:paraId="5210A09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9936718">
            <w:pPr>
              <w:widowControl/>
              <w:spacing w:before="0" w:beforeAutospacing="0" w:after="0" w:afterAutospacing="0"/>
              <w:ind w:left="0" w:right="0"/>
              <w:jc w:val="left"/>
              <w:rPr>
                <w:rFonts w:hint="default"/>
                <w:b/>
                <w:bCs/>
                <w:color w:val="auto"/>
                <w:kern w:val="0"/>
                <w:szCs w:val="21"/>
              </w:rPr>
            </w:pPr>
          </w:p>
        </w:tc>
        <w:tc>
          <w:tcPr>
            <w:tcW w:w="5400" w:type="dxa"/>
            <w:tcBorders>
              <w:top w:val="single" w:color="auto" w:sz="4" w:space="0"/>
              <w:left w:val="nil"/>
              <w:bottom w:val="single" w:color="auto" w:sz="4" w:space="0"/>
              <w:right w:val="single" w:color="auto" w:sz="4" w:space="0"/>
            </w:tcBorders>
            <w:noWrap w:val="0"/>
            <w:vAlign w:val="center"/>
          </w:tcPr>
          <w:p w14:paraId="46EDC00B">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气态监测项目质控校准记录（包括零跨、精度、多点校准）零跨</w:t>
            </w:r>
            <w:r>
              <w:rPr>
                <w:rFonts w:hint="default"/>
                <w:color w:val="auto"/>
                <w:kern w:val="0"/>
              </w:rPr>
              <w:t>1</w:t>
            </w:r>
            <w:r>
              <w:rPr>
                <w:rFonts w:hint="eastAsia" w:ascii="宋体" w:hAnsi="宋体"/>
                <w:color w:val="auto"/>
                <w:kern w:val="0"/>
              </w:rPr>
              <w:t>次</w:t>
            </w:r>
            <w:r>
              <w:rPr>
                <w:rFonts w:hint="default"/>
                <w:color w:val="auto"/>
                <w:kern w:val="0"/>
              </w:rPr>
              <w:t>/5-7</w:t>
            </w:r>
            <w:r>
              <w:rPr>
                <w:rFonts w:hint="eastAsia" w:ascii="宋体" w:hAnsi="宋体"/>
                <w:color w:val="auto"/>
                <w:kern w:val="0"/>
              </w:rPr>
              <w:t>天，精度</w:t>
            </w:r>
            <w:r>
              <w:rPr>
                <w:rFonts w:hint="default"/>
                <w:color w:val="auto"/>
                <w:kern w:val="0"/>
              </w:rPr>
              <w:t>1</w:t>
            </w:r>
            <w:r>
              <w:rPr>
                <w:rFonts w:hint="eastAsia" w:ascii="宋体" w:hAnsi="宋体"/>
                <w:color w:val="auto"/>
                <w:kern w:val="0"/>
              </w:rPr>
              <w:t>次</w:t>
            </w:r>
            <w:r>
              <w:rPr>
                <w:rFonts w:hint="default"/>
                <w:color w:val="auto"/>
                <w:kern w:val="0"/>
              </w:rPr>
              <w:t>/</w:t>
            </w:r>
            <w:r>
              <w:rPr>
                <w:rFonts w:hint="eastAsia" w:ascii="宋体" w:hAnsi="宋体"/>
                <w:color w:val="auto"/>
                <w:kern w:val="0"/>
              </w:rPr>
              <w:t>季度，多点</w:t>
            </w:r>
            <w:r>
              <w:rPr>
                <w:rFonts w:hint="default"/>
                <w:color w:val="auto"/>
                <w:kern w:val="0"/>
              </w:rPr>
              <w:t>1</w:t>
            </w:r>
            <w:r>
              <w:rPr>
                <w:rFonts w:hint="eastAsia" w:ascii="宋体" w:hAnsi="宋体"/>
                <w:color w:val="auto"/>
                <w:kern w:val="0"/>
              </w:rPr>
              <w:t>次</w:t>
            </w:r>
            <w:r>
              <w:rPr>
                <w:rFonts w:hint="default"/>
                <w:color w:val="auto"/>
                <w:kern w:val="0"/>
              </w:rPr>
              <w:t>/</w:t>
            </w:r>
            <w:r>
              <w:rPr>
                <w:rFonts w:hint="eastAsia" w:ascii="宋体" w:hAnsi="宋体"/>
                <w:color w:val="auto"/>
                <w:kern w:val="0"/>
              </w:rPr>
              <w:t>半年；</w:t>
            </w:r>
          </w:p>
        </w:tc>
        <w:tc>
          <w:tcPr>
            <w:tcW w:w="1060" w:type="dxa"/>
            <w:tcBorders>
              <w:top w:val="single" w:color="auto" w:sz="4" w:space="0"/>
              <w:left w:val="nil"/>
              <w:bottom w:val="single" w:color="auto" w:sz="4" w:space="0"/>
              <w:right w:val="single" w:color="auto" w:sz="4" w:space="0"/>
            </w:tcBorders>
            <w:noWrap w:val="0"/>
            <w:vAlign w:val="center"/>
          </w:tcPr>
          <w:p w14:paraId="7FCF0B7D">
            <w:pPr>
              <w:adjustRightInd w:val="0"/>
              <w:snapToGrid w:val="0"/>
              <w:spacing w:before="0" w:beforeAutospacing="0" w:after="0" w:afterAutospacing="0"/>
              <w:ind w:left="0" w:right="0"/>
              <w:jc w:val="center"/>
              <w:rPr>
                <w:rFonts w:hint="eastAsia" w:eastAsia="宋体"/>
                <w:color w:val="auto"/>
                <w:kern w:val="0"/>
                <w:szCs w:val="21"/>
                <w:lang w:eastAsia="zh-CN"/>
              </w:rPr>
            </w:pPr>
            <w:r>
              <w:rPr>
                <w:rFonts w:hint="eastAsia"/>
                <w:color w:val="auto"/>
                <w:kern w:val="0"/>
                <w:lang w:val="en-US" w:eastAsia="zh-CN"/>
              </w:rPr>
              <w:t>2</w:t>
            </w:r>
          </w:p>
        </w:tc>
        <w:tc>
          <w:tcPr>
            <w:tcW w:w="1525" w:type="dxa"/>
            <w:tcBorders>
              <w:top w:val="single" w:color="auto" w:sz="4" w:space="0"/>
              <w:left w:val="nil"/>
              <w:bottom w:val="single" w:color="auto" w:sz="4" w:space="0"/>
              <w:right w:val="single" w:color="auto" w:sz="4" w:space="0"/>
            </w:tcBorders>
            <w:noWrap w:val="0"/>
            <w:vAlign w:val="center"/>
          </w:tcPr>
          <w:p w14:paraId="7D76A19F">
            <w:pPr>
              <w:snapToGrid w:val="0"/>
              <w:spacing w:before="0" w:beforeAutospacing="0" w:after="0" w:afterAutospacing="0"/>
              <w:ind w:left="0" w:right="0"/>
              <w:rPr>
                <w:rFonts w:hint="default"/>
                <w:color w:val="auto"/>
                <w:szCs w:val="21"/>
              </w:rPr>
            </w:pPr>
            <w:r>
              <w:rPr>
                <w:rFonts w:hint="eastAsia"/>
                <w:color w:val="auto"/>
              </w:rPr>
              <w:t>缺一项扣</w:t>
            </w:r>
            <w:r>
              <w:rPr>
                <w:rFonts w:hint="eastAsia"/>
                <w:color w:val="auto"/>
                <w:lang w:val="en-US" w:eastAsia="zh-CN"/>
              </w:rPr>
              <w:t>2</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1DD2AA97">
            <w:pPr>
              <w:adjustRightInd w:val="0"/>
              <w:snapToGrid w:val="0"/>
              <w:spacing w:before="0" w:beforeAutospacing="0" w:after="0" w:afterAutospacing="0"/>
              <w:ind w:left="0" w:right="0"/>
              <w:jc w:val="center"/>
              <w:rPr>
                <w:rFonts w:hint="default"/>
                <w:color w:val="auto"/>
                <w:kern w:val="0"/>
                <w:szCs w:val="21"/>
              </w:rPr>
            </w:pPr>
          </w:p>
        </w:tc>
      </w:tr>
      <w:tr w14:paraId="02A322D9">
        <w:tblPrEx>
          <w:tblCellMar>
            <w:top w:w="0" w:type="dxa"/>
            <w:left w:w="108" w:type="dxa"/>
            <w:bottom w:w="0" w:type="dxa"/>
            <w:right w:w="108" w:type="dxa"/>
          </w:tblCellMar>
        </w:tblPrEx>
        <w:trPr>
          <w:trHeight w:val="292"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06EC1B59">
            <w:pPr>
              <w:widowControl/>
              <w:spacing w:before="0" w:beforeAutospacing="0" w:after="0" w:afterAutospacing="0"/>
              <w:ind w:left="0" w:right="0"/>
              <w:jc w:val="left"/>
              <w:rPr>
                <w:rFonts w:hint="default"/>
                <w:b/>
                <w:bCs/>
                <w:color w:val="auto"/>
                <w:kern w:val="0"/>
                <w:szCs w:val="21"/>
              </w:rPr>
            </w:pPr>
          </w:p>
        </w:tc>
        <w:tc>
          <w:tcPr>
            <w:tcW w:w="5400" w:type="dxa"/>
            <w:tcBorders>
              <w:top w:val="single" w:color="auto" w:sz="4" w:space="0"/>
              <w:left w:val="nil"/>
              <w:bottom w:val="single" w:color="auto" w:sz="4" w:space="0"/>
              <w:right w:val="single" w:color="auto" w:sz="4" w:space="0"/>
            </w:tcBorders>
            <w:noWrap w:val="0"/>
            <w:vAlign w:val="center"/>
          </w:tcPr>
          <w:p w14:paraId="293C8B3F">
            <w:pPr>
              <w:adjustRightInd w:val="0"/>
              <w:snapToGrid w:val="0"/>
              <w:spacing w:before="0" w:beforeAutospacing="0" w:after="0" w:afterAutospacing="0"/>
              <w:ind w:left="0" w:right="0"/>
              <w:jc w:val="left"/>
              <w:rPr>
                <w:rFonts w:hint="default"/>
                <w:color w:val="auto"/>
                <w:szCs w:val="21"/>
              </w:rPr>
            </w:pPr>
            <w:r>
              <w:rPr>
                <w:rFonts w:hint="eastAsia"/>
                <w:color w:val="auto"/>
              </w:rPr>
              <w:t>现场臭氧工作标准是否每年一次经过量值溯源，并提供传递报告</w:t>
            </w:r>
          </w:p>
        </w:tc>
        <w:tc>
          <w:tcPr>
            <w:tcW w:w="1060" w:type="dxa"/>
            <w:tcBorders>
              <w:top w:val="single" w:color="auto" w:sz="4" w:space="0"/>
              <w:left w:val="nil"/>
              <w:bottom w:val="single" w:color="auto" w:sz="4" w:space="0"/>
              <w:right w:val="single" w:color="auto" w:sz="4" w:space="0"/>
            </w:tcBorders>
            <w:noWrap w:val="0"/>
            <w:vAlign w:val="center"/>
          </w:tcPr>
          <w:p w14:paraId="7C008A65">
            <w:pPr>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141B7ACB">
            <w:pPr>
              <w:snapToGrid w:val="0"/>
              <w:spacing w:before="0" w:beforeAutospacing="0" w:after="0" w:afterAutospacing="0"/>
              <w:ind w:left="0" w:right="0"/>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01FDA419">
            <w:pPr>
              <w:adjustRightInd w:val="0"/>
              <w:snapToGrid w:val="0"/>
              <w:spacing w:before="0" w:beforeAutospacing="0" w:after="0" w:afterAutospacing="0"/>
              <w:ind w:left="0" w:right="0"/>
              <w:jc w:val="center"/>
              <w:rPr>
                <w:rFonts w:hint="default"/>
                <w:color w:val="auto"/>
                <w:kern w:val="0"/>
                <w:szCs w:val="21"/>
              </w:rPr>
            </w:pPr>
          </w:p>
        </w:tc>
      </w:tr>
      <w:tr w14:paraId="7D15E94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4CB8432A">
            <w:pPr>
              <w:widowControl/>
              <w:spacing w:before="0" w:beforeAutospacing="0" w:after="0" w:afterAutospacing="0"/>
              <w:ind w:left="0" w:right="0"/>
              <w:jc w:val="left"/>
              <w:rPr>
                <w:rFonts w:hint="default"/>
                <w:b/>
                <w:bCs/>
                <w:color w:val="auto"/>
                <w:kern w:val="0"/>
                <w:szCs w:val="21"/>
              </w:rPr>
            </w:pPr>
          </w:p>
        </w:tc>
        <w:tc>
          <w:tcPr>
            <w:tcW w:w="5400" w:type="dxa"/>
            <w:tcBorders>
              <w:top w:val="single" w:color="auto" w:sz="4" w:space="0"/>
              <w:left w:val="nil"/>
              <w:bottom w:val="single" w:color="auto" w:sz="4" w:space="0"/>
              <w:right w:val="single" w:color="auto" w:sz="4" w:space="0"/>
            </w:tcBorders>
            <w:noWrap w:val="0"/>
            <w:vAlign w:val="center"/>
          </w:tcPr>
          <w:p w14:paraId="35B01600">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颗粒物质控校准记录（包括流量、质量传感器</w:t>
            </w:r>
            <w:r>
              <w:rPr>
                <w:rFonts w:hint="default"/>
                <w:color w:val="auto"/>
                <w:kern w:val="0"/>
              </w:rPr>
              <w:t>/</w:t>
            </w:r>
            <w:r>
              <w:rPr>
                <w:rFonts w:hint="eastAsia" w:ascii="宋体" w:hAnsi="宋体"/>
                <w:color w:val="auto"/>
                <w:kern w:val="0"/>
              </w:rPr>
              <w:t>标准膜、温度和压力校准）流量</w:t>
            </w:r>
            <w:r>
              <w:rPr>
                <w:rFonts w:hint="default"/>
                <w:color w:val="auto"/>
                <w:kern w:val="0"/>
              </w:rPr>
              <w:t>1</w:t>
            </w:r>
            <w:r>
              <w:rPr>
                <w:rFonts w:hint="eastAsia" w:ascii="宋体" w:hAnsi="宋体"/>
                <w:color w:val="auto"/>
                <w:kern w:val="0"/>
              </w:rPr>
              <w:t>次</w:t>
            </w:r>
            <w:r>
              <w:rPr>
                <w:rFonts w:hint="default"/>
                <w:color w:val="auto"/>
                <w:kern w:val="0"/>
              </w:rPr>
              <w:t>/</w:t>
            </w:r>
            <w:r>
              <w:rPr>
                <w:rFonts w:hint="eastAsia" w:ascii="宋体" w:hAnsi="宋体"/>
                <w:color w:val="auto"/>
                <w:kern w:val="0"/>
              </w:rPr>
              <w:t>月，其他</w:t>
            </w:r>
            <w:r>
              <w:rPr>
                <w:rFonts w:hint="default"/>
                <w:color w:val="auto"/>
                <w:kern w:val="0"/>
              </w:rPr>
              <w:t>1</w:t>
            </w:r>
            <w:r>
              <w:rPr>
                <w:rFonts w:hint="eastAsia" w:ascii="宋体" w:hAnsi="宋体"/>
                <w:color w:val="auto"/>
                <w:kern w:val="0"/>
              </w:rPr>
              <w:t>次</w:t>
            </w:r>
            <w:r>
              <w:rPr>
                <w:rFonts w:hint="default"/>
                <w:color w:val="auto"/>
                <w:kern w:val="0"/>
              </w:rPr>
              <w:t>/</w:t>
            </w:r>
            <w:r>
              <w:rPr>
                <w:rFonts w:hint="eastAsia" w:ascii="宋体" w:hAnsi="宋体"/>
                <w:color w:val="auto"/>
                <w:kern w:val="0"/>
              </w:rPr>
              <w:t>年</w:t>
            </w:r>
          </w:p>
        </w:tc>
        <w:tc>
          <w:tcPr>
            <w:tcW w:w="1060" w:type="dxa"/>
            <w:tcBorders>
              <w:top w:val="single" w:color="auto" w:sz="4" w:space="0"/>
              <w:left w:val="nil"/>
              <w:bottom w:val="single" w:color="auto" w:sz="4" w:space="0"/>
              <w:right w:val="single" w:color="auto" w:sz="4" w:space="0"/>
            </w:tcBorders>
            <w:noWrap w:val="0"/>
            <w:vAlign w:val="center"/>
          </w:tcPr>
          <w:p w14:paraId="3A1FEF72">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63905DAC">
            <w:pPr>
              <w:snapToGrid w:val="0"/>
              <w:spacing w:before="0" w:beforeAutospacing="0" w:after="0" w:afterAutospacing="0"/>
              <w:ind w:left="0" w:right="0"/>
              <w:rPr>
                <w:rFonts w:hint="default"/>
                <w:color w:val="auto"/>
                <w:szCs w:val="21"/>
              </w:rPr>
            </w:pPr>
            <w:r>
              <w:rPr>
                <w:rFonts w:hint="eastAsia"/>
                <w:color w:val="auto"/>
              </w:rPr>
              <w:t>缺一项扣</w:t>
            </w:r>
            <w:r>
              <w:rPr>
                <w:rFonts w:hint="eastAsia"/>
                <w:color w:val="auto"/>
                <w:lang w:val="en-US" w:eastAsia="zh-CN"/>
              </w:rPr>
              <w:t>1</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463665A7">
            <w:pPr>
              <w:adjustRightInd w:val="0"/>
              <w:snapToGrid w:val="0"/>
              <w:spacing w:before="0" w:beforeAutospacing="0" w:after="0" w:afterAutospacing="0"/>
              <w:ind w:left="0" w:right="0"/>
              <w:jc w:val="center"/>
              <w:rPr>
                <w:rFonts w:hint="default"/>
                <w:color w:val="auto"/>
                <w:kern w:val="0"/>
                <w:szCs w:val="21"/>
              </w:rPr>
            </w:pPr>
          </w:p>
        </w:tc>
      </w:tr>
      <w:tr w14:paraId="7F590C9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BBF0EBD">
            <w:pPr>
              <w:widowControl/>
              <w:spacing w:before="0" w:beforeAutospacing="0" w:after="0" w:afterAutospacing="0"/>
              <w:ind w:left="0" w:right="0"/>
              <w:jc w:val="left"/>
              <w:rPr>
                <w:rFonts w:hint="default"/>
                <w:b/>
                <w:bCs/>
                <w:color w:val="auto"/>
                <w:kern w:val="0"/>
                <w:szCs w:val="21"/>
              </w:rPr>
            </w:pPr>
          </w:p>
        </w:tc>
        <w:tc>
          <w:tcPr>
            <w:tcW w:w="5400" w:type="dxa"/>
            <w:tcBorders>
              <w:top w:val="single" w:color="auto" w:sz="4" w:space="0"/>
              <w:left w:val="nil"/>
              <w:bottom w:val="single" w:color="auto" w:sz="4" w:space="0"/>
              <w:right w:val="single" w:color="auto" w:sz="4" w:space="0"/>
            </w:tcBorders>
            <w:noWrap w:val="0"/>
            <w:vAlign w:val="center"/>
          </w:tcPr>
          <w:p w14:paraId="0674E289">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采样总管清洁记录、颗粒物切割头清洁、采样管清洁记录、设备维修记录、耗品耗材更换记录</w:t>
            </w:r>
          </w:p>
        </w:tc>
        <w:tc>
          <w:tcPr>
            <w:tcW w:w="1060" w:type="dxa"/>
            <w:tcBorders>
              <w:top w:val="single" w:color="auto" w:sz="4" w:space="0"/>
              <w:left w:val="nil"/>
              <w:bottom w:val="single" w:color="auto" w:sz="4" w:space="0"/>
              <w:right w:val="single" w:color="auto" w:sz="4" w:space="0"/>
            </w:tcBorders>
            <w:noWrap w:val="0"/>
            <w:vAlign w:val="center"/>
          </w:tcPr>
          <w:p w14:paraId="42990CBD">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592A5F60">
            <w:pPr>
              <w:snapToGrid w:val="0"/>
              <w:spacing w:before="0" w:beforeAutospacing="0" w:after="0" w:afterAutospacing="0"/>
              <w:ind w:left="0" w:right="0"/>
              <w:rPr>
                <w:rFonts w:hint="default"/>
                <w:color w:val="auto"/>
                <w:szCs w:val="21"/>
              </w:rPr>
            </w:pPr>
            <w:r>
              <w:rPr>
                <w:rFonts w:hint="eastAsia"/>
                <w:color w:val="auto"/>
              </w:rPr>
              <w:t>缺一项扣</w:t>
            </w:r>
            <w:r>
              <w:rPr>
                <w:rFonts w:hint="eastAsia"/>
                <w:color w:val="auto"/>
                <w:lang w:val="en-US" w:eastAsia="zh-CN"/>
              </w:rPr>
              <w:t>1</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52B5A24B">
            <w:pPr>
              <w:adjustRightInd w:val="0"/>
              <w:snapToGrid w:val="0"/>
              <w:spacing w:before="0" w:beforeAutospacing="0" w:after="0" w:afterAutospacing="0"/>
              <w:ind w:left="0" w:right="0"/>
              <w:jc w:val="center"/>
              <w:rPr>
                <w:rFonts w:hint="default"/>
                <w:color w:val="auto"/>
                <w:kern w:val="0"/>
                <w:szCs w:val="21"/>
              </w:rPr>
            </w:pPr>
          </w:p>
        </w:tc>
      </w:tr>
      <w:tr w14:paraId="2A8C092A">
        <w:tblPrEx>
          <w:tblCellMar>
            <w:top w:w="0" w:type="dxa"/>
            <w:left w:w="108" w:type="dxa"/>
            <w:bottom w:w="0" w:type="dxa"/>
            <w:right w:w="108" w:type="dxa"/>
          </w:tblCellMar>
        </w:tblPrEx>
        <w:trPr>
          <w:trHeight w:val="176"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79E4A5EB">
            <w:pPr>
              <w:widowControl/>
              <w:spacing w:before="0" w:beforeAutospacing="0" w:after="0" w:afterAutospacing="0"/>
              <w:ind w:left="0" w:right="0"/>
              <w:jc w:val="left"/>
              <w:rPr>
                <w:rFonts w:hint="default"/>
                <w:b/>
                <w:bCs/>
                <w:color w:val="auto"/>
                <w:kern w:val="0"/>
                <w:szCs w:val="21"/>
              </w:rPr>
            </w:pPr>
          </w:p>
        </w:tc>
        <w:tc>
          <w:tcPr>
            <w:tcW w:w="5400" w:type="dxa"/>
            <w:tcBorders>
              <w:top w:val="single" w:color="auto" w:sz="4" w:space="0"/>
              <w:left w:val="nil"/>
              <w:bottom w:val="single" w:color="auto" w:sz="4" w:space="0"/>
              <w:right w:val="single" w:color="auto" w:sz="4" w:space="0"/>
            </w:tcBorders>
            <w:noWrap w:val="0"/>
            <w:vAlign w:val="center"/>
          </w:tcPr>
          <w:p w14:paraId="0D3C9554">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能见度校准记录</w:t>
            </w:r>
            <w:r>
              <w:rPr>
                <w:rFonts w:hint="default"/>
                <w:color w:val="auto"/>
                <w:kern w:val="0"/>
              </w:rPr>
              <w:t>1</w:t>
            </w:r>
            <w:r>
              <w:rPr>
                <w:rFonts w:hint="eastAsia" w:ascii="宋体" w:hAnsi="宋体"/>
                <w:color w:val="auto"/>
                <w:kern w:val="0"/>
              </w:rPr>
              <w:t>次</w:t>
            </w:r>
            <w:r>
              <w:rPr>
                <w:rFonts w:hint="default"/>
                <w:color w:val="auto"/>
                <w:kern w:val="0"/>
              </w:rPr>
              <w:t>/</w:t>
            </w:r>
            <w:r>
              <w:rPr>
                <w:rFonts w:hint="eastAsia" w:ascii="宋体" w:hAnsi="宋体"/>
                <w:color w:val="auto"/>
                <w:kern w:val="0"/>
              </w:rPr>
              <w:t>月</w:t>
            </w:r>
          </w:p>
        </w:tc>
        <w:tc>
          <w:tcPr>
            <w:tcW w:w="1060" w:type="dxa"/>
            <w:tcBorders>
              <w:top w:val="single" w:color="auto" w:sz="4" w:space="0"/>
              <w:left w:val="nil"/>
              <w:bottom w:val="single" w:color="auto" w:sz="4" w:space="0"/>
              <w:right w:val="single" w:color="auto" w:sz="4" w:space="0"/>
            </w:tcBorders>
            <w:noWrap w:val="0"/>
            <w:vAlign w:val="center"/>
          </w:tcPr>
          <w:p w14:paraId="63A5F3B5">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686CC01F">
            <w:pPr>
              <w:snapToGrid w:val="0"/>
              <w:spacing w:before="0" w:beforeAutospacing="0" w:after="0" w:afterAutospacing="0"/>
              <w:ind w:left="0" w:right="0"/>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3BF9B095">
            <w:pPr>
              <w:adjustRightInd w:val="0"/>
              <w:snapToGrid w:val="0"/>
              <w:spacing w:before="0" w:beforeAutospacing="0" w:after="0" w:afterAutospacing="0"/>
              <w:ind w:left="0" w:right="0"/>
              <w:jc w:val="center"/>
              <w:rPr>
                <w:rFonts w:hint="default"/>
                <w:color w:val="auto"/>
                <w:kern w:val="0"/>
                <w:szCs w:val="21"/>
              </w:rPr>
            </w:pPr>
          </w:p>
        </w:tc>
      </w:tr>
      <w:tr w14:paraId="600B42AA">
        <w:tblPrEx>
          <w:tblCellMar>
            <w:top w:w="0" w:type="dxa"/>
            <w:left w:w="108" w:type="dxa"/>
            <w:bottom w:w="0" w:type="dxa"/>
            <w:right w:w="108" w:type="dxa"/>
          </w:tblCellMar>
        </w:tblPrEx>
        <w:trPr>
          <w:trHeight w:val="27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12D68BBD">
            <w:pPr>
              <w:widowControl/>
              <w:spacing w:before="0" w:beforeAutospacing="0" w:after="0" w:afterAutospacing="0"/>
              <w:ind w:left="0" w:right="0"/>
              <w:jc w:val="left"/>
              <w:rPr>
                <w:rFonts w:hint="default"/>
                <w:b/>
                <w:bCs/>
                <w:color w:val="auto"/>
                <w:kern w:val="0"/>
                <w:szCs w:val="21"/>
              </w:rPr>
            </w:pPr>
          </w:p>
        </w:tc>
        <w:tc>
          <w:tcPr>
            <w:tcW w:w="5400" w:type="dxa"/>
            <w:tcBorders>
              <w:top w:val="single" w:color="auto" w:sz="4" w:space="0"/>
              <w:left w:val="nil"/>
              <w:bottom w:val="single" w:color="auto" w:sz="4" w:space="0"/>
              <w:right w:val="single" w:color="auto" w:sz="4" w:space="0"/>
            </w:tcBorders>
            <w:noWrap w:val="0"/>
            <w:vAlign w:val="center"/>
          </w:tcPr>
          <w:p w14:paraId="7764A056">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上述各项记录与工控机中数据是否一致</w:t>
            </w:r>
          </w:p>
        </w:tc>
        <w:tc>
          <w:tcPr>
            <w:tcW w:w="1060" w:type="dxa"/>
            <w:tcBorders>
              <w:top w:val="single" w:color="auto" w:sz="4" w:space="0"/>
              <w:left w:val="nil"/>
              <w:bottom w:val="single" w:color="auto" w:sz="4" w:space="0"/>
              <w:right w:val="single" w:color="auto" w:sz="4" w:space="0"/>
            </w:tcBorders>
            <w:noWrap w:val="0"/>
            <w:vAlign w:val="center"/>
          </w:tcPr>
          <w:p w14:paraId="19B47FD9">
            <w:pPr>
              <w:adjustRightInd w:val="0"/>
              <w:snapToGrid w:val="0"/>
              <w:spacing w:before="0" w:beforeAutospacing="0" w:after="0" w:afterAutospacing="0"/>
              <w:ind w:left="0" w:right="0"/>
              <w:jc w:val="center"/>
              <w:rPr>
                <w:rFonts w:hint="eastAsia" w:eastAsia="宋体"/>
                <w:color w:val="auto"/>
                <w:kern w:val="0"/>
                <w:szCs w:val="21"/>
                <w:lang w:eastAsia="zh-CN"/>
              </w:rPr>
            </w:pPr>
            <w:r>
              <w:rPr>
                <w:rFonts w:hint="eastAsia"/>
                <w:color w:val="auto"/>
                <w:kern w:val="0"/>
                <w:lang w:val="en-US" w:eastAsia="zh-CN"/>
              </w:rPr>
              <w:t>2</w:t>
            </w:r>
          </w:p>
        </w:tc>
        <w:tc>
          <w:tcPr>
            <w:tcW w:w="1525" w:type="dxa"/>
            <w:tcBorders>
              <w:top w:val="single" w:color="auto" w:sz="4" w:space="0"/>
              <w:left w:val="nil"/>
              <w:bottom w:val="single" w:color="auto" w:sz="4" w:space="0"/>
              <w:right w:val="single" w:color="auto" w:sz="4" w:space="0"/>
            </w:tcBorders>
            <w:noWrap w:val="0"/>
            <w:vAlign w:val="center"/>
          </w:tcPr>
          <w:p w14:paraId="0ED21816">
            <w:pPr>
              <w:snapToGrid w:val="0"/>
              <w:spacing w:before="0" w:beforeAutospacing="0" w:after="0" w:afterAutospacing="0"/>
              <w:ind w:left="0" w:right="0"/>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5175048C">
            <w:pPr>
              <w:adjustRightInd w:val="0"/>
              <w:snapToGrid w:val="0"/>
              <w:spacing w:before="0" w:beforeAutospacing="0" w:after="0" w:afterAutospacing="0"/>
              <w:ind w:left="0" w:right="0"/>
              <w:jc w:val="center"/>
              <w:rPr>
                <w:rFonts w:hint="default"/>
                <w:color w:val="auto"/>
                <w:kern w:val="0"/>
                <w:szCs w:val="21"/>
              </w:rPr>
            </w:pPr>
          </w:p>
        </w:tc>
      </w:tr>
      <w:tr w14:paraId="4CD108A6">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1383D34A">
            <w:pPr>
              <w:widowControl/>
              <w:spacing w:before="0" w:beforeAutospacing="0" w:after="0" w:afterAutospacing="0"/>
              <w:ind w:left="0" w:right="0"/>
              <w:jc w:val="left"/>
              <w:rPr>
                <w:rFonts w:hint="default"/>
                <w:b/>
                <w:bCs/>
                <w:color w:val="auto"/>
                <w:kern w:val="0"/>
                <w:szCs w:val="21"/>
              </w:rPr>
            </w:pPr>
          </w:p>
        </w:tc>
        <w:tc>
          <w:tcPr>
            <w:tcW w:w="5400" w:type="dxa"/>
            <w:tcBorders>
              <w:top w:val="single" w:color="auto" w:sz="4" w:space="0"/>
              <w:left w:val="nil"/>
              <w:bottom w:val="single" w:color="auto" w:sz="4" w:space="0"/>
              <w:right w:val="single" w:color="auto" w:sz="4" w:space="0"/>
            </w:tcBorders>
            <w:noWrap w:val="0"/>
            <w:vAlign w:val="center"/>
          </w:tcPr>
          <w:p w14:paraId="465EDD9F">
            <w:pPr>
              <w:adjustRightInd w:val="0"/>
              <w:snapToGrid w:val="0"/>
              <w:spacing w:before="0" w:beforeAutospacing="0" w:after="0" w:afterAutospacing="0"/>
              <w:ind w:left="0" w:right="0"/>
              <w:jc w:val="left"/>
              <w:rPr>
                <w:rFonts w:hint="default"/>
                <w:color w:val="auto"/>
                <w:kern w:val="0"/>
                <w:szCs w:val="21"/>
              </w:rPr>
            </w:pPr>
            <w:r>
              <w:rPr>
                <w:rFonts w:hint="default"/>
                <w:color w:val="auto"/>
                <w:kern w:val="0"/>
              </w:rPr>
              <w:t xml:space="preserve"> </w:t>
            </w:r>
            <w:r>
              <w:rPr>
                <w:rFonts w:hint="eastAsia"/>
                <w:color w:val="auto"/>
                <w:kern w:val="0"/>
              </w:rPr>
              <w:t>监测设备档案（包括设备使用说明、操作手册、维修记录、使用情况、年度自检报告等）</w:t>
            </w:r>
          </w:p>
        </w:tc>
        <w:tc>
          <w:tcPr>
            <w:tcW w:w="1060" w:type="dxa"/>
            <w:tcBorders>
              <w:top w:val="single" w:color="auto" w:sz="4" w:space="0"/>
              <w:left w:val="nil"/>
              <w:bottom w:val="single" w:color="auto" w:sz="4" w:space="0"/>
              <w:right w:val="single" w:color="auto" w:sz="4" w:space="0"/>
            </w:tcBorders>
            <w:noWrap w:val="0"/>
            <w:vAlign w:val="center"/>
          </w:tcPr>
          <w:p w14:paraId="39F95C8E">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67FF9ECA">
            <w:pPr>
              <w:snapToGrid w:val="0"/>
              <w:spacing w:before="0" w:beforeAutospacing="0" w:after="0" w:afterAutospacing="0"/>
              <w:ind w:left="0" w:right="0"/>
              <w:rPr>
                <w:rFonts w:hint="default"/>
                <w:color w:val="auto"/>
                <w:szCs w:val="21"/>
              </w:rPr>
            </w:pPr>
            <w:r>
              <w:rPr>
                <w:rFonts w:hint="eastAsia"/>
                <w:color w:val="auto"/>
              </w:rPr>
              <w:t>缺一项扣</w:t>
            </w:r>
            <w:r>
              <w:rPr>
                <w:rFonts w:hint="eastAsia"/>
                <w:color w:val="auto"/>
                <w:lang w:val="en-US" w:eastAsia="zh-CN"/>
              </w:rPr>
              <w:t>1</w:t>
            </w:r>
            <w:r>
              <w:rPr>
                <w:rFonts w:hint="eastAsia" w:ascii="宋体" w:hAnsi="宋体"/>
                <w:color w:val="auto"/>
              </w:rPr>
              <w:t>分</w:t>
            </w:r>
          </w:p>
        </w:tc>
        <w:tc>
          <w:tcPr>
            <w:tcW w:w="655" w:type="dxa"/>
            <w:tcBorders>
              <w:top w:val="single" w:color="auto" w:sz="4" w:space="0"/>
              <w:left w:val="nil"/>
              <w:bottom w:val="single" w:color="auto" w:sz="4" w:space="0"/>
              <w:right w:val="single" w:color="auto" w:sz="4" w:space="0"/>
            </w:tcBorders>
            <w:noWrap w:val="0"/>
            <w:vAlign w:val="center"/>
          </w:tcPr>
          <w:p w14:paraId="48E1ABDD">
            <w:pPr>
              <w:adjustRightInd w:val="0"/>
              <w:snapToGrid w:val="0"/>
              <w:spacing w:before="0" w:beforeAutospacing="0" w:after="0" w:afterAutospacing="0"/>
              <w:ind w:left="0" w:right="0"/>
              <w:jc w:val="center"/>
              <w:rPr>
                <w:rFonts w:hint="default"/>
                <w:color w:val="auto"/>
                <w:kern w:val="0"/>
                <w:szCs w:val="21"/>
              </w:rPr>
            </w:pPr>
          </w:p>
        </w:tc>
      </w:tr>
      <w:tr w14:paraId="3AD59D18">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auto" w:sz="4" w:space="0"/>
              <w:right w:val="single" w:color="auto" w:sz="4" w:space="0"/>
            </w:tcBorders>
            <w:noWrap w:val="0"/>
            <w:vAlign w:val="center"/>
          </w:tcPr>
          <w:p w14:paraId="7D666705">
            <w:pPr>
              <w:adjustRightInd w:val="0"/>
              <w:snapToGrid w:val="0"/>
              <w:spacing w:before="0" w:beforeAutospacing="0" w:after="0" w:afterAutospacing="0"/>
              <w:ind w:left="0" w:right="0"/>
              <w:jc w:val="left"/>
              <w:rPr>
                <w:rFonts w:hint="default"/>
                <w:b/>
                <w:bCs/>
                <w:color w:val="auto"/>
                <w:kern w:val="0"/>
                <w:szCs w:val="21"/>
              </w:rPr>
            </w:pPr>
            <w:r>
              <w:rPr>
                <w:rFonts w:hint="default"/>
                <w:b/>
                <w:bCs/>
                <w:color w:val="auto"/>
                <w:kern w:val="0"/>
              </w:rPr>
              <w:t>4.</w:t>
            </w:r>
            <w:r>
              <w:rPr>
                <w:rFonts w:hint="eastAsia" w:ascii="宋体" w:hAnsi="宋体"/>
                <w:b/>
                <w:bCs/>
                <w:color w:val="auto"/>
                <w:kern w:val="0"/>
              </w:rPr>
              <w:t>后勤保障情况</w:t>
            </w:r>
          </w:p>
          <w:p w14:paraId="7849F477">
            <w:pPr>
              <w:adjustRightInd w:val="0"/>
              <w:snapToGrid w:val="0"/>
              <w:spacing w:before="0" w:beforeAutospacing="0" w:after="0" w:afterAutospacing="0"/>
              <w:ind w:left="0" w:right="0"/>
              <w:jc w:val="left"/>
              <w:rPr>
                <w:rFonts w:hint="default"/>
                <w:b/>
                <w:bCs/>
                <w:color w:val="auto"/>
                <w:kern w:val="0"/>
                <w:szCs w:val="21"/>
              </w:rPr>
            </w:pPr>
            <w:r>
              <w:rPr>
                <w:rFonts w:hint="eastAsia"/>
                <w:b/>
                <w:bCs/>
                <w:color w:val="auto"/>
                <w:kern w:val="0"/>
              </w:rPr>
              <w:t>（</w:t>
            </w:r>
            <w:r>
              <w:rPr>
                <w:rFonts w:hint="eastAsia"/>
                <w:b/>
                <w:bCs/>
                <w:color w:val="auto"/>
                <w:kern w:val="0"/>
                <w:lang w:val="en-US" w:eastAsia="zh-CN"/>
              </w:rPr>
              <w:t>3</w:t>
            </w:r>
            <w:r>
              <w:rPr>
                <w:rFonts w:hint="eastAsia" w:ascii="宋体" w:hAnsi="宋体"/>
                <w:b/>
                <w:bCs/>
                <w:color w:val="auto"/>
                <w:kern w:val="0"/>
              </w:rPr>
              <w:t>分）</w:t>
            </w:r>
          </w:p>
        </w:tc>
        <w:tc>
          <w:tcPr>
            <w:tcW w:w="5400" w:type="dxa"/>
            <w:tcBorders>
              <w:top w:val="single" w:color="auto" w:sz="4" w:space="0"/>
              <w:left w:val="nil"/>
              <w:bottom w:val="single" w:color="auto" w:sz="4" w:space="0"/>
              <w:right w:val="single" w:color="auto" w:sz="4" w:space="0"/>
            </w:tcBorders>
            <w:noWrap w:val="0"/>
            <w:vAlign w:val="center"/>
          </w:tcPr>
          <w:p w14:paraId="21861929">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本城市备机数量</w:t>
            </w:r>
            <w:r>
              <w:rPr>
                <w:rFonts w:hint="default"/>
                <w:color w:val="auto"/>
                <w:kern w:val="0"/>
              </w:rPr>
              <w:t>_______</w:t>
            </w:r>
            <w:r>
              <w:rPr>
                <w:rFonts w:hint="eastAsia" w:ascii="宋体" w:hAnsi="宋体"/>
                <w:color w:val="auto"/>
                <w:kern w:val="0"/>
              </w:rPr>
              <w:t>，能否满足至少</w:t>
            </w:r>
            <w:r>
              <w:rPr>
                <w:rFonts w:hint="default"/>
                <w:color w:val="auto"/>
                <w:kern w:val="0"/>
              </w:rPr>
              <w:t>1</w:t>
            </w:r>
            <w:r>
              <w:rPr>
                <w:rFonts w:hint="eastAsia" w:ascii="宋体" w:hAnsi="宋体"/>
                <w:color w:val="auto"/>
                <w:kern w:val="0"/>
              </w:rPr>
              <w:t>套</w:t>
            </w:r>
            <w:r>
              <w:rPr>
                <w:rFonts w:hint="default"/>
                <w:color w:val="auto"/>
                <w:kern w:val="0"/>
              </w:rPr>
              <w:t>/3</w:t>
            </w:r>
            <w:r>
              <w:rPr>
                <w:rFonts w:hint="eastAsia" w:ascii="宋体" w:hAnsi="宋体"/>
                <w:color w:val="auto"/>
                <w:kern w:val="0"/>
              </w:rPr>
              <w:t>个子站要求</w:t>
            </w:r>
          </w:p>
        </w:tc>
        <w:tc>
          <w:tcPr>
            <w:tcW w:w="1060" w:type="dxa"/>
            <w:tcBorders>
              <w:top w:val="single" w:color="auto" w:sz="4" w:space="0"/>
              <w:left w:val="nil"/>
              <w:bottom w:val="single" w:color="auto" w:sz="4" w:space="0"/>
              <w:right w:val="single" w:color="auto" w:sz="4" w:space="0"/>
            </w:tcBorders>
            <w:noWrap w:val="0"/>
            <w:vAlign w:val="center"/>
          </w:tcPr>
          <w:p w14:paraId="50B1B2D3">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szCs w:val="21"/>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728372A2">
            <w:pPr>
              <w:snapToGrid w:val="0"/>
              <w:spacing w:before="0" w:beforeAutospacing="0" w:after="0" w:afterAutospacing="0"/>
              <w:ind w:left="0" w:right="0"/>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63CC3323">
            <w:pPr>
              <w:adjustRightInd w:val="0"/>
              <w:snapToGrid w:val="0"/>
              <w:spacing w:before="0" w:beforeAutospacing="0" w:after="0" w:afterAutospacing="0"/>
              <w:ind w:left="0" w:right="0"/>
              <w:jc w:val="center"/>
              <w:rPr>
                <w:rFonts w:hint="default"/>
                <w:color w:val="auto"/>
                <w:kern w:val="0"/>
                <w:szCs w:val="21"/>
              </w:rPr>
            </w:pPr>
          </w:p>
        </w:tc>
      </w:tr>
      <w:tr w14:paraId="453EFD8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2463923">
            <w:pPr>
              <w:widowControl/>
              <w:spacing w:before="0" w:beforeAutospacing="0" w:after="0" w:afterAutospacing="0"/>
              <w:ind w:left="0" w:right="0"/>
              <w:jc w:val="left"/>
              <w:rPr>
                <w:rFonts w:hint="default"/>
                <w:b/>
                <w:bCs/>
                <w:color w:val="auto"/>
                <w:kern w:val="0"/>
                <w:szCs w:val="21"/>
              </w:rPr>
            </w:pPr>
          </w:p>
        </w:tc>
        <w:tc>
          <w:tcPr>
            <w:tcW w:w="5400" w:type="dxa"/>
            <w:tcBorders>
              <w:top w:val="single" w:color="auto" w:sz="4" w:space="0"/>
              <w:left w:val="nil"/>
              <w:bottom w:val="single" w:color="auto" w:sz="4" w:space="0"/>
              <w:right w:val="single" w:color="auto" w:sz="4" w:space="0"/>
            </w:tcBorders>
            <w:noWrap w:val="0"/>
            <w:vAlign w:val="center"/>
          </w:tcPr>
          <w:p w14:paraId="1ECD2434">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本城市运营人员数量</w:t>
            </w:r>
            <w:r>
              <w:rPr>
                <w:rFonts w:hint="default"/>
                <w:color w:val="auto"/>
                <w:kern w:val="0"/>
              </w:rPr>
              <w:t>_____</w:t>
            </w:r>
            <w:r>
              <w:rPr>
                <w:rFonts w:hint="eastAsia" w:ascii="宋体" w:hAnsi="宋体"/>
                <w:color w:val="auto"/>
                <w:kern w:val="0"/>
              </w:rPr>
              <w:t>，能否满足至少</w:t>
            </w:r>
            <w:r>
              <w:rPr>
                <w:rFonts w:hint="default"/>
                <w:color w:val="auto"/>
                <w:kern w:val="0"/>
              </w:rPr>
              <w:t>1</w:t>
            </w:r>
            <w:r>
              <w:rPr>
                <w:rFonts w:hint="eastAsia" w:ascii="宋体" w:hAnsi="宋体"/>
                <w:color w:val="auto"/>
                <w:kern w:val="0"/>
              </w:rPr>
              <w:t xml:space="preserve">人 </w:t>
            </w:r>
            <w:r>
              <w:rPr>
                <w:rFonts w:hint="default"/>
                <w:color w:val="auto"/>
                <w:kern w:val="0"/>
              </w:rPr>
              <w:t>/3</w:t>
            </w:r>
            <w:r>
              <w:rPr>
                <w:rFonts w:hint="eastAsia" w:ascii="宋体" w:hAnsi="宋体"/>
                <w:color w:val="auto"/>
                <w:kern w:val="0"/>
              </w:rPr>
              <w:t>个子站要求</w:t>
            </w:r>
          </w:p>
        </w:tc>
        <w:tc>
          <w:tcPr>
            <w:tcW w:w="1060" w:type="dxa"/>
            <w:tcBorders>
              <w:top w:val="single" w:color="auto" w:sz="4" w:space="0"/>
              <w:left w:val="nil"/>
              <w:bottom w:val="single" w:color="auto" w:sz="4" w:space="0"/>
              <w:right w:val="single" w:color="auto" w:sz="4" w:space="0"/>
            </w:tcBorders>
            <w:noWrap w:val="0"/>
            <w:vAlign w:val="center"/>
          </w:tcPr>
          <w:p w14:paraId="3A9FF3B7">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5D86BFF3">
            <w:pPr>
              <w:snapToGrid w:val="0"/>
              <w:spacing w:before="0" w:beforeAutospacing="0" w:after="0" w:afterAutospacing="0"/>
              <w:ind w:left="0" w:right="0"/>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68FAFBEA">
            <w:pPr>
              <w:adjustRightInd w:val="0"/>
              <w:snapToGrid w:val="0"/>
              <w:spacing w:before="0" w:beforeAutospacing="0" w:after="0" w:afterAutospacing="0"/>
              <w:ind w:left="0" w:right="0"/>
              <w:jc w:val="center"/>
              <w:rPr>
                <w:rFonts w:hint="default"/>
                <w:color w:val="auto"/>
                <w:kern w:val="0"/>
                <w:szCs w:val="21"/>
              </w:rPr>
            </w:pPr>
          </w:p>
        </w:tc>
      </w:tr>
      <w:tr w14:paraId="29E83488">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14:paraId="664EA618">
            <w:pPr>
              <w:widowControl/>
              <w:spacing w:before="0" w:beforeAutospacing="0" w:after="0" w:afterAutospacing="0"/>
              <w:ind w:left="0" w:right="0"/>
              <w:jc w:val="left"/>
              <w:rPr>
                <w:rFonts w:hint="default"/>
                <w:b/>
                <w:bCs/>
                <w:color w:val="auto"/>
                <w:kern w:val="0"/>
                <w:szCs w:val="21"/>
              </w:rPr>
            </w:pPr>
          </w:p>
        </w:tc>
        <w:tc>
          <w:tcPr>
            <w:tcW w:w="5400" w:type="dxa"/>
            <w:tcBorders>
              <w:top w:val="single" w:color="auto" w:sz="4" w:space="0"/>
              <w:left w:val="nil"/>
              <w:bottom w:val="single" w:color="auto" w:sz="4" w:space="0"/>
              <w:right w:val="single" w:color="auto" w:sz="4" w:space="0"/>
            </w:tcBorders>
            <w:noWrap w:val="0"/>
            <w:vAlign w:val="center"/>
          </w:tcPr>
          <w:p w14:paraId="15705373">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本城市车辆数量</w:t>
            </w:r>
            <w:r>
              <w:rPr>
                <w:rFonts w:hint="default"/>
                <w:color w:val="auto"/>
                <w:kern w:val="0"/>
              </w:rPr>
              <w:t>________</w:t>
            </w:r>
            <w:r>
              <w:rPr>
                <w:rFonts w:hint="eastAsia" w:ascii="宋体" w:hAnsi="宋体"/>
                <w:color w:val="auto"/>
                <w:kern w:val="0"/>
              </w:rPr>
              <w:t>，能否满足至少</w:t>
            </w:r>
            <w:r>
              <w:rPr>
                <w:rFonts w:hint="default"/>
                <w:color w:val="auto"/>
                <w:kern w:val="0"/>
              </w:rPr>
              <w:t xml:space="preserve">1 </w:t>
            </w:r>
            <w:r>
              <w:rPr>
                <w:rFonts w:hint="eastAsia" w:ascii="宋体" w:hAnsi="宋体"/>
                <w:color w:val="auto"/>
                <w:kern w:val="0"/>
              </w:rPr>
              <w:t>辆</w:t>
            </w:r>
            <w:r>
              <w:rPr>
                <w:rFonts w:hint="default"/>
                <w:color w:val="auto"/>
                <w:kern w:val="0"/>
              </w:rPr>
              <w:t>/3</w:t>
            </w:r>
            <w:r>
              <w:rPr>
                <w:rFonts w:hint="eastAsia" w:ascii="宋体" w:hAnsi="宋体"/>
                <w:color w:val="auto"/>
                <w:kern w:val="0"/>
              </w:rPr>
              <w:t>个子站要求</w:t>
            </w:r>
          </w:p>
        </w:tc>
        <w:tc>
          <w:tcPr>
            <w:tcW w:w="1060" w:type="dxa"/>
            <w:tcBorders>
              <w:top w:val="single" w:color="auto" w:sz="4" w:space="0"/>
              <w:left w:val="nil"/>
              <w:bottom w:val="single" w:color="auto" w:sz="4" w:space="0"/>
              <w:right w:val="single" w:color="auto" w:sz="4" w:space="0"/>
            </w:tcBorders>
            <w:noWrap w:val="0"/>
            <w:vAlign w:val="center"/>
          </w:tcPr>
          <w:p w14:paraId="45980A78">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lang w:val="en-US" w:eastAsia="zh-CN"/>
              </w:rPr>
              <w:t>1</w:t>
            </w:r>
          </w:p>
        </w:tc>
        <w:tc>
          <w:tcPr>
            <w:tcW w:w="1525" w:type="dxa"/>
            <w:tcBorders>
              <w:top w:val="single" w:color="auto" w:sz="4" w:space="0"/>
              <w:left w:val="nil"/>
              <w:bottom w:val="single" w:color="auto" w:sz="4" w:space="0"/>
              <w:right w:val="single" w:color="auto" w:sz="4" w:space="0"/>
            </w:tcBorders>
            <w:noWrap w:val="0"/>
            <w:vAlign w:val="center"/>
          </w:tcPr>
          <w:p w14:paraId="1D2248FA">
            <w:pPr>
              <w:snapToGrid w:val="0"/>
              <w:spacing w:before="0" w:beforeAutospacing="0" w:after="0" w:afterAutospacing="0"/>
              <w:ind w:left="0" w:right="0"/>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15EC2A3B">
            <w:pPr>
              <w:adjustRightInd w:val="0"/>
              <w:snapToGrid w:val="0"/>
              <w:spacing w:before="0" w:beforeAutospacing="0" w:after="0" w:afterAutospacing="0"/>
              <w:ind w:left="0" w:right="0"/>
              <w:jc w:val="center"/>
              <w:rPr>
                <w:rFonts w:hint="default"/>
                <w:color w:val="auto"/>
                <w:kern w:val="0"/>
                <w:szCs w:val="21"/>
              </w:rPr>
            </w:pPr>
          </w:p>
        </w:tc>
      </w:tr>
      <w:tr w14:paraId="4D1579CB">
        <w:tblPrEx>
          <w:tblCellMar>
            <w:top w:w="0" w:type="dxa"/>
            <w:left w:w="108" w:type="dxa"/>
            <w:bottom w:w="0" w:type="dxa"/>
            <w:right w:w="108" w:type="dxa"/>
          </w:tblCellMar>
        </w:tblPrEx>
        <w:trPr>
          <w:trHeight w:val="817" w:hRule="atLeast"/>
          <w:jc w:val="center"/>
        </w:trPr>
        <w:tc>
          <w:tcPr>
            <w:tcW w:w="1080" w:type="dxa"/>
            <w:tcBorders>
              <w:top w:val="nil"/>
              <w:left w:val="single" w:color="auto" w:sz="4" w:space="0"/>
              <w:right w:val="single" w:color="auto" w:sz="4" w:space="0"/>
            </w:tcBorders>
            <w:noWrap w:val="0"/>
            <w:vAlign w:val="center"/>
          </w:tcPr>
          <w:p w14:paraId="25564454">
            <w:pPr>
              <w:adjustRightInd w:val="0"/>
              <w:snapToGrid w:val="0"/>
              <w:spacing w:before="0" w:beforeAutospacing="0" w:after="0" w:afterAutospacing="0"/>
              <w:ind w:left="0" w:right="0"/>
              <w:jc w:val="left"/>
              <w:rPr>
                <w:rFonts w:hint="eastAsia" w:ascii="Times New Roman" w:hAnsi="Times New Roman" w:eastAsia="宋体" w:cs="Times New Roman"/>
                <w:b/>
                <w:bCs/>
                <w:color w:val="auto"/>
                <w:kern w:val="0"/>
                <w:lang w:eastAsia="zh-CN"/>
              </w:rPr>
            </w:pPr>
            <w:r>
              <w:rPr>
                <w:rFonts w:hint="eastAsia" w:ascii="Times New Roman" w:hAnsi="Times New Roman" w:eastAsia="宋体" w:cs="Times New Roman"/>
                <w:b/>
                <w:bCs/>
                <w:color w:val="auto"/>
                <w:kern w:val="0"/>
                <w:lang w:val="en-US" w:eastAsia="zh-CN"/>
              </w:rPr>
              <w:t>5.</w:t>
            </w:r>
            <w:r>
              <w:rPr>
                <w:rFonts w:hint="eastAsia" w:ascii="Times New Roman" w:hAnsi="Times New Roman" w:cs="Times New Roman"/>
                <w:b/>
                <w:bCs/>
                <w:color w:val="auto"/>
                <w:kern w:val="0"/>
                <w:lang w:val="en-US" w:eastAsia="zh-CN"/>
              </w:rPr>
              <w:t>数据</w:t>
            </w:r>
            <w:r>
              <w:rPr>
                <w:rFonts w:hint="eastAsia" w:ascii="Times New Roman" w:hAnsi="Times New Roman" w:eastAsia="宋体"/>
                <w:b/>
                <w:bCs/>
                <w:color w:val="auto"/>
                <w:kern w:val="0"/>
                <w:sz w:val="21"/>
                <w:szCs w:val="20"/>
                <w:lang w:val="en-US" w:eastAsia="zh-CN"/>
              </w:rPr>
              <w:t>入库率</w:t>
            </w:r>
            <w:r>
              <w:rPr>
                <w:rFonts w:hint="eastAsia" w:ascii="Times New Roman" w:hAnsi="Times New Roman" w:eastAsia="宋体" w:cs="Times New Roman"/>
                <w:b/>
                <w:bCs/>
                <w:color w:val="auto"/>
                <w:kern w:val="0"/>
                <w:lang w:eastAsia="zh-CN"/>
              </w:rPr>
              <w:t>（</w:t>
            </w:r>
            <w:r>
              <w:rPr>
                <w:rFonts w:hint="eastAsia" w:ascii="Times New Roman" w:hAnsi="Times New Roman" w:cs="Times New Roman"/>
                <w:b/>
                <w:bCs/>
                <w:color w:val="auto"/>
                <w:kern w:val="0"/>
                <w:lang w:val="en-US" w:eastAsia="zh-CN"/>
              </w:rPr>
              <w:t>5</w:t>
            </w:r>
            <w:r>
              <w:rPr>
                <w:rFonts w:hint="eastAsia" w:ascii="Times New Roman" w:hAnsi="Times New Roman" w:eastAsia="宋体" w:cs="Times New Roman"/>
                <w:b/>
                <w:bCs/>
                <w:color w:val="auto"/>
                <w:kern w:val="0"/>
                <w:lang w:val="en-US" w:eastAsia="zh-CN"/>
              </w:rPr>
              <w:t>0分</w:t>
            </w:r>
            <w:r>
              <w:rPr>
                <w:rFonts w:hint="eastAsia" w:ascii="Times New Roman" w:hAnsi="Times New Roman" w:eastAsia="宋体" w:cs="Times New Roman"/>
                <w:b/>
                <w:bCs/>
                <w:color w:val="auto"/>
                <w:kern w:val="0"/>
                <w:lang w:eastAsia="zh-CN"/>
              </w:rPr>
              <w:t>）</w:t>
            </w:r>
          </w:p>
        </w:tc>
        <w:tc>
          <w:tcPr>
            <w:tcW w:w="5400" w:type="dxa"/>
            <w:tcBorders>
              <w:top w:val="single" w:color="auto" w:sz="4" w:space="0"/>
              <w:left w:val="nil"/>
              <w:right w:val="single" w:color="auto" w:sz="4" w:space="0"/>
            </w:tcBorders>
            <w:noWrap w:val="0"/>
            <w:vAlign w:val="center"/>
          </w:tcPr>
          <w:p w14:paraId="6404BE7B">
            <w:pPr>
              <w:adjustRightInd w:val="0"/>
              <w:snapToGrid w:val="0"/>
              <w:spacing w:before="0" w:beforeAutospacing="0" w:after="0" w:afterAutospacing="0"/>
              <w:ind w:left="0" w:right="0"/>
              <w:jc w:val="left"/>
              <w:rPr>
                <w:rFonts w:hint="default" w:ascii="Times New Roman" w:hAnsi="Times New Roman" w:eastAsia="宋体" w:cs="Times New Roman"/>
                <w:color w:val="auto"/>
                <w:kern w:val="0"/>
                <w:lang w:val="en-US"/>
              </w:rPr>
            </w:pPr>
            <w:r>
              <w:rPr>
                <w:rFonts w:hint="eastAsia" w:ascii="Times New Roman" w:hAnsi="Times New Roman"/>
                <w:color w:val="auto"/>
                <w:kern w:val="0"/>
                <w:sz w:val="21"/>
                <w:szCs w:val="20"/>
                <w:lang w:val="en-US" w:eastAsia="zh-CN"/>
              </w:rPr>
              <w:t>每季度</w:t>
            </w:r>
            <w:r>
              <w:rPr>
                <w:rFonts w:hint="eastAsia" w:ascii="Times New Roman" w:hAnsi="Times New Roman" w:eastAsia="宋体"/>
                <w:color w:val="auto"/>
                <w:kern w:val="0"/>
                <w:sz w:val="21"/>
                <w:szCs w:val="20"/>
                <w:lang w:val="en-US" w:eastAsia="zh-CN"/>
              </w:rPr>
              <w:t>单站直连国家实时数据和审核数据的入库率</w:t>
            </w:r>
            <w:r>
              <w:rPr>
                <w:rFonts w:hint="eastAsia" w:ascii="Times New Roman" w:hAnsi="Times New Roman" w:eastAsia="宋体" w:cs="Times New Roman"/>
                <w:color w:val="auto"/>
                <w:kern w:val="0"/>
              </w:rPr>
              <w:t>≥9</w:t>
            </w:r>
            <w:r>
              <w:rPr>
                <w:rFonts w:hint="eastAsia" w:ascii="Times New Roman" w:hAnsi="Times New Roman" w:cs="Times New Roman"/>
                <w:color w:val="auto"/>
                <w:kern w:val="0"/>
                <w:lang w:val="en-US" w:eastAsia="zh-CN"/>
              </w:rPr>
              <w:t>5</w:t>
            </w:r>
            <w:r>
              <w:rPr>
                <w:rFonts w:hint="eastAsia" w:ascii="Times New Roman" w:hAnsi="Times New Roman" w:eastAsia="宋体" w:cs="Times New Roman"/>
                <w:color w:val="auto"/>
                <w:kern w:val="0"/>
              </w:rPr>
              <w:t>%</w:t>
            </w:r>
            <w:r>
              <w:rPr>
                <w:rFonts w:hint="eastAsia" w:ascii="Times New Roman" w:hAnsi="Times New Roman" w:cs="Times New Roman"/>
                <w:color w:val="auto"/>
                <w:kern w:val="0"/>
                <w:lang w:eastAsia="zh-CN"/>
              </w:rPr>
              <w:t>，</w:t>
            </w:r>
            <w:r>
              <w:rPr>
                <w:rFonts w:hint="eastAsia" w:ascii="Times New Roman" w:hAnsi="Times New Roman" w:eastAsia="宋体"/>
                <w:color w:val="auto"/>
                <w:kern w:val="0"/>
                <w:sz w:val="21"/>
                <w:szCs w:val="20"/>
                <w:lang w:val="en-US" w:eastAsia="zh-CN"/>
              </w:rPr>
              <w:t>入库率</w:t>
            </w:r>
            <w:r>
              <w:rPr>
                <w:rFonts w:hint="eastAsia" w:ascii="Times New Roman" w:hAnsi="Times New Roman" w:cs="Times New Roman"/>
                <w:color w:val="auto"/>
                <w:kern w:val="0"/>
                <w:lang w:val="en-US" w:eastAsia="zh-CN"/>
              </w:rPr>
              <w:t>每降低1%，扣10分，扣完为止。</w:t>
            </w:r>
          </w:p>
        </w:tc>
        <w:tc>
          <w:tcPr>
            <w:tcW w:w="1060" w:type="dxa"/>
            <w:tcBorders>
              <w:top w:val="single" w:color="auto" w:sz="4" w:space="0"/>
              <w:left w:val="nil"/>
              <w:right w:val="single" w:color="auto" w:sz="4" w:space="0"/>
            </w:tcBorders>
            <w:noWrap w:val="0"/>
            <w:vAlign w:val="center"/>
          </w:tcPr>
          <w:p w14:paraId="24FCC66D">
            <w:pPr>
              <w:adjustRightInd w:val="0"/>
              <w:snapToGrid w:val="0"/>
              <w:spacing w:before="0" w:beforeAutospacing="0" w:after="0" w:afterAutospacing="0"/>
              <w:ind w:left="0" w:right="0"/>
              <w:jc w:val="center"/>
              <w:rPr>
                <w:rFonts w:hint="default" w:eastAsia="宋体"/>
                <w:color w:val="auto"/>
                <w:kern w:val="0"/>
                <w:lang w:val="en-US" w:eastAsia="zh-CN"/>
              </w:rPr>
            </w:pPr>
            <w:r>
              <w:rPr>
                <w:rFonts w:hint="eastAsia"/>
                <w:color w:val="auto"/>
                <w:kern w:val="0"/>
                <w:lang w:val="en-US" w:eastAsia="zh-CN"/>
              </w:rPr>
              <w:t>50</w:t>
            </w:r>
          </w:p>
        </w:tc>
        <w:tc>
          <w:tcPr>
            <w:tcW w:w="1525" w:type="dxa"/>
            <w:tcBorders>
              <w:top w:val="single" w:color="auto" w:sz="4" w:space="0"/>
              <w:left w:val="nil"/>
              <w:right w:val="single" w:color="auto" w:sz="4" w:space="0"/>
            </w:tcBorders>
            <w:noWrap w:val="0"/>
            <w:vAlign w:val="center"/>
          </w:tcPr>
          <w:p w14:paraId="42CFD7B0">
            <w:pPr>
              <w:snapToGrid w:val="0"/>
              <w:spacing w:before="0" w:beforeAutospacing="0" w:after="0" w:afterAutospacing="0"/>
              <w:ind w:left="0" w:right="0"/>
              <w:rPr>
                <w:rFonts w:hint="eastAsia"/>
                <w:color w:val="auto"/>
                <w:szCs w:val="21"/>
                <w:lang w:val="en-US" w:eastAsia="zh-CN"/>
              </w:rPr>
            </w:pPr>
          </w:p>
          <w:p w14:paraId="41C55344">
            <w:pPr>
              <w:snapToGrid w:val="0"/>
              <w:spacing w:before="0" w:beforeAutospacing="0" w:after="0" w:afterAutospacing="0"/>
              <w:ind w:left="0" w:right="0"/>
              <w:rPr>
                <w:rFonts w:hint="default"/>
                <w:color w:val="auto"/>
                <w:szCs w:val="21"/>
              </w:rPr>
            </w:pPr>
          </w:p>
        </w:tc>
        <w:tc>
          <w:tcPr>
            <w:tcW w:w="655" w:type="dxa"/>
            <w:tcBorders>
              <w:top w:val="single" w:color="auto" w:sz="4" w:space="0"/>
              <w:left w:val="nil"/>
              <w:bottom w:val="single" w:color="auto" w:sz="4" w:space="0"/>
              <w:right w:val="single" w:color="auto" w:sz="4" w:space="0"/>
            </w:tcBorders>
            <w:noWrap w:val="0"/>
            <w:vAlign w:val="center"/>
          </w:tcPr>
          <w:p w14:paraId="0CA60B54">
            <w:pPr>
              <w:adjustRightInd w:val="0"/>
              <w:snapToGrid w:val="0"/>
              <w:spacing w:before="0" w:beforeAutospacing="0" w:after="0" w:afterAutospacing="0"/>
              <w:ind w:left="0" w:right="0"/>
              <w:jc w:val="center"/>
              <w:rPr>
                <w:rFonts w:hint="default"/>
                <w:color w:val="auto"/>
                <w:kern w:val="0"/>
                <w:szCs w:val="21"/>
              </w:rPr>
            </w:pPr>
          </w:p>
        </w:tc>
      </w:tr>
      <w:tr w14:paraId="31CD01DF">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7757503">
            <w:pPr>
              <w:adjustRightInd w:val="0"/>
              <w:snapToGrid w:val="0"/>
              <w:spacing w:before="0" w:beforeAutospacing="0" w:after="0" w:afterAutospacing="0"/>
              <w:ind w:left="0" w:right="0"/>
              <w:jc w:val="left"/>
              <w:rPr>
                <w:rFonts w:hint="default"/>
                <w:b/>
                <w:bCs/>
                <w:color w:val="auto"/>
                <w:kern w:val="0"/>
                <w:szCs w:val="21"/>
              </w:rPr>
            </w:pPr>
            <w:r>
              <w:rPr>
                <w:rFonts w:hint="eastAsia"/>
                <w:b/>
                <w:bCs/>
                <w:color w:val="auto"/>
                <w:kern w:val="0"/>
                <w:lang w:val="en-US" w:eastAsia="zh-CN"/>
              </w:rPr>
              <w:t>6</w:t>
            </w:r>
            <w:r>
              <w:rPr>
                <w:rFonts w:hint="default"/>
                <w:b/>
                <w:bCs/>
                <w:color w:val="auto"/>
                <w:kern w:val="0"/>
              </w:rPr>
              <w:t xml:space="preserve">. </w:t>
            </w:r>
            <w:r>
              <w:rPr>
                <w:rFonts w:hint="eastAsia" w:ascii="宋体" w:hAnsi="宋体"/>
                <w:b/>
                <w:bCs/>
                <w:color w:val="auto"/>
                <w:kern w:val="0"/>
              </w:rPr>
              <w:t>数据造假</w:t>
            </w:r>
          </w:p>
        </w:tc>
        <w:tc>
          <w:tcPr>
            <w:tcW w:w="5400" w:type="dxa"/>
            <w:tcBorders>
              <w:top w:val="single" w:color="auto" w:sz="4" w:space="0"/>
              <w:left w:val="nil"/>
              <w:bottom w:val="single" w:color="auto" w:sz="4" w:space="0"/>
              <w:right w:val="single" w:color="auto" w:sz="4" w:space="0"/>
            </w:tcBorders>
            <w:noWrap w:val="0"/>
            <w:vAlign w:val="center"/>
          </w:tcPr>
          <w:p w14:paraId="41F5C627">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检查过程中如发现有数据造假情况（判定方法按照《环境监测数据弄虚作假处理办法》及实施细则）</w:t>
            </w:r>
          </w:p>
        </w:tc>
        <w:tc>
          <w:tcPr>
            <w:tcW w:w="1060" w:type="dxa"/>
            <w:tcBorders>
              <w:top w:val="single" w:color="auto" w:sz="4" w:space="0"/>
              <w:left w:val="nil"/>
              <w:bottom w:val="single" w:color="auto" w:sz="4" w:space="0"/>
              <w:right w:val="single" w:color="auto" w:sz="4" w:space="0"/>
            </w:tcBorders>
            <w:noWrap w:val="0"/>
            <w:vAlign w:val="center"/>
          </w:tcPr>
          <w:p w14:paraId="75E8DA34">
            <w:pPr>
              <w:adjustRightInd w:val="0"/>
              <w:snapToGrid w:val="0"/>
              <w:spacing w:before="0" w:beforeAutospacing="0" w:after="0" w:afterAutospacing="0"/>
              <w:ind w:left="0" w:right="0"/>
              <w:jc w:val="center"/>
              <w:rPr>
                <w:rFonts w:hint="default"/>
                <w:color w:val="auto"/>
                <w:kern w:val="0"/>
                <w:szCs w:val="21"/>
              </w:rPr>
            </w:pPr>
          </w:p>
        </w:tc>
        <w:tc>
          <w:tcPr>
            <w:tcW w:w="1525" w:type="dxa"/>
            <w:tcBorders>
              <w:top w:val="single" w:color="auto" w:sz="4" w:space="0"/>
              <w:left w:val="nil"/>
              <w:bottom w:val="single" w:color="auto" w:sz="4" w:space="0"/>
              <w:right w:val="single" w:color="auto" w:sz="4" w:space="0"/>
            </w:tcBorders>
            <w:noWrap w:val="0"/>
            <w:vAlign w:val="center"/>
          </w:tcPr>
          <w:p w14:paraId="2C2DACC6">
            <w:pPr>
              <w:adjustRightInd w:val="0"/>
              <w:snapToGrid w:val="0"/>
              <w:spacing w:before="0" w:beforeAutospacing="0" w:after="0" w:afterAutospacing="0"/>
              <w:ind w:left="0" w:right="0"/>
              <w:jc w:val="center"/>
              <w:rPr>
                <w:rFonts w:hint="default"/>
                <w:color w:val="auto"/>
                <w:kern w:val="0"/>
                <w:szCs w:val="21"/>
              </w:rPr>
            </w:pPr>
            <w:r>
              <w:rPr>
                <w:rFonts w:hint="eastAsia"/>
                <w:color w:val="auto"/>
                <w:kern w:val="0"/>
              </w:rPr>
              <w:t>直接扣</w:t>
            </w:r>
            <w:r>
              <w:rPr>
                <w:rFonts w:hint="eastAsia"/>
                <w:color w:val="auto"/>
                <w:kern w:val="0"/>
                <w:lang w:val="en-US" w:eastAsia="zh-CN"/>
              </w:rPr>
              <w:t>10</w:t>
            </w:r>
            <w:r>
              <w:rPr>
                <w:rFonts w:hint="default"/>
                <w:color w:val="auto"/>
                <w:kern w:val="0"/>
              </w:rPr>
              <w:t>0</w:t>
            </w:r>
            <w:r>
              <w:rPr>
                <w:rFonts w:hint="eastAsia" w:ascii="宋体" w:hAnsi="宋体"/>
                <w:color w:val="auto"/>
                <w:kern w:val="0"/>
              </w:rPr>
              <w:t>分</w:t>
            </w:r>
          </w:p>
        </w:tc>
        <w:tc>
          <w:tcPr>
            <w:tcW w:w="655" w:type="dxa"/>
            <w:tcBorders>
              <w:top w:val="single" w:color="auto" w:sz="4" w:space="0"/>
              <w:left w:val="nil"/>
              <w:bottom w:val="single" w:color="auto" w:sz="4" w:space="0"/>
              <w:right w:val="single" w:color="auto" w:sz="4" w:space="0"/>
            </w:tcBorders>
            <w:noWrap w:val="0"/>
            <w:vAlign w:val="center"/>
          </w:tcPr>
          <w:p w14:paraId="3E973319">
            <w:pPr>
              <w:adjustRightInd w:val="0"/>
              <w:snapToGrid w:val="0"/>
              <w:spacing w:before="0" w:beforeAutospacing="0" w:after="0" w:afterAutospacing="0"/>
              <w:ind w:left="0" w:right="0"/>
              <w:jc w:val="center"/>
              <w:rPr>
                <w:rFonts w:hint="default"/>
                <w:color w:val="auto"/>
                <w:kern w:val="0"/>
                <w:szCs w:val="21"/>
              </w:rPr>
            </w:pPr>
          </w:p>
        </w:tc>
      </w:tr>
      <w:tr w14:paraId="61804DDC">
        <w:tblPrEx>
          <w:tblCellMar>
            <w:top w:w="0" w:type="dxa"/>
            <w:left w:w="108" w:type="dxa"/>
            <w:bottom w:w="0" w:type="dxa"/>
            <w:right w:w="108" w:type="dxa"/>
          </w:tblCellMar>
        </w:tblPrEx>
        <w:trPr>
          <w:trHeight w:val="1466"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5222A10">
            <w:pPr>
              <w:adjustRightInd w:val="0"/>
              <w:snapToGrid w:val="0"/>
              <w:spacing w:before="0" w:beforeAutospacing="0" w:after="0" w:afterAutospacing="0"/>
              <w:ind w:left="0" w:right="0"/>
              <w:jc w:val="left"/>
              <w:rPr>
                <w:rFonts w:hint="eastAsia"/>
                <w:b/>
                <w:bCs/>
                <w:color w:val="auto"/>
                <w:kern w:val="0"/>
                <w:lang w:val="en-US" w:eastAsia="zh-CN"/>
              </w:rPr>
            </w:pPr>
            <w:r>
              <w:rPr>
                <w:rFonts w:hint="eastAsia"/>
                <w:b/>
                <w:bCs/>
                <w:color w:val="auto"/>
                <w:kern w:val="0"/>
                <w:lang w:val="en-US" w:eastAsia="zh-CN"/>
              </w:rPr>
              <w:t>7</w:t>
            </w:r>
            <w:r>
              <w:rPr>
                <w:rFonts w:hint="default"/>
                <w:b/>
                <w:bCs/>
                <w:color w:val="auto"/>
                <w:kern w:val="0"/>
              </w:rPr>
              <w:t xml:space="preserve">. </w:t>
            </w:r>
            <w:r>
              <w:rPr>
                <w:rFonts w:hint="eastAsia" w:ascii="宋体" w:hAnsi="宋体"/>
                <w:b/>
                <w:bCs/>
                <w:color w:val="auto"/>
                <w:kern w:val="0"/>
              </w:rPr>
              <w:t>其他问题</w:t>
            </w:r>
          </w:p>
        </w:tc>
        <w:tc>
          <w:tcPr>
            <w:tcW w:w="5400" w:type="dxa"/>
            <w:tcBorders>
              <w:top w:val="single" w:color="auto" w:sz="4" w:space="0"/>
              <w:left w:val="nil"/>
              <w:bottom w:val="single" w:color="auto" w:sz="4" w:space="0"/>
              <w:right w:val="single" w:color="auto" w:sz="4" w:space="0"/>
            </w:tcBorders>
            <w:noWrap w:val="0"/>
            <w:vAlign w:val="center"/>
          </w:tcPr>
          <w:p w14:paraId="3B8C4FC7">
            <w:pPr>
              <w:adjustRightInd w:val="0"/>
              <w:snapToGrid w:val="0"/>
              <w:spacing w:before="0" w:beforeAutospacing="0" w:after="0" w:afterAutospacing="0"/>
              <w:ind w:left="0" w:right="0"/>
              <w:jc w:val="left"/>
              <w:rPr>
                <w:rFonts w:hint="default" w:eastAsia="宋体"/>
                <w:color w:val="auto"/>
                <w:kern w:val="0"/>
                <w:lang w:val="en-US" w:eastAsia="zh-CN"/>
              </w:rPr>
            </w:pPr>
            <w:r>
              <w:rPr>
                <w:rFonts w:hint="eastAsia" w:ascii="Calibri" w:eastAsia="宋体"/>
                <w:color w:val="auto"/>
                <w:kern w:val="0"/>
                <w:sz w:val="21"/>
                <w:szCs w:val="20"/>
              </w:rPr>
              <w:t>迟报、漏报或不报审核数据的；拖延、阻碍、拒绝质量检查或飞行检查的；发现采样、分析、数据采集和传输等过程人为干扰，未按要求及时向</w:t>
            </w:r>
            <w:r>
              <w:rPr>
                <w:rFonts w:hint="eastAsia" w:ascii="Calibri" w:eastAsia="宋体"/>
                <w:color w:val="auto"/>
                <w:kern w:val="0"/>
                <w:sz w:val="21"/>
                <w:szCs w:val="20"/>
                <w:lang w:val="en-US" w:eastAsia="zh-CN"/>
              </w:rPr>
              <w:t>北海</w:t>
            </w:r>
            <w:r>
              <w:rPr>
                <w:rFonts w:hint="eastAsia" w:ascii="Calibri" w:eastAsia="宋体"/>
                <w:color w:val="auto"/>
                <w:kern w:val="0"/>
                <w:sz w:val="21"/>
                <w:szCs w:val="20"/>
              </w:rPr>
              <w:t>中心报告的；因工作疏漏，未发现采样、分析、数据采集和传输等过程人为干扰的；其他不履行规定职责的情形。</w:t>
            </w:r>
          </w:p>
        </w:tc>
        <w:tc>
          <w:tcPr>
            <w:tcW w:w="1060" w:type="dxa"/>
            <w:tcBorders>
              <w:top w:val="single" w:color="auto" w:sz="4" w:space="0"/>
              <w:left w:val="nil"/>
              <w:bottom w:val="single" w:color="auto" w:sz="4" w:space="0"/>
              <w:right w:val="single" w:color="auto" w:sz="4" w:space="0"/>
            </w:tcBorders>
            <w:noWrap w:val="0"/>
            <w:vAlign w:val="center"/>
          </w:tcPr>
          <w:p w14:paraId="2788DEB5">
            <w:pPr>
              <w:adjustRightInd w:val="0"/>
              <w:snapToGrid w:val="0"/>
              <w:spacing w:before="0" w:beforeAutospacing="0" w:after="0" w:afterAutospacing="0"/>
              <w:ind w:left="0" w:right="0"/>
              <w:jc w:val="center"/>
              <w:rPr>
                <w:rFonts w:hint="default" w:eastAsia="宋体"/>
                <w:color w:val="auto"/>
                <w:kern w:val="0"/>
                <w:szCs w:val="21"/>
                <w:lang w:val="en-US" w:eastAsia="zh-CN"/>
              </w:rPr>
            </w:pPr>
          </w:p>
        </w:tc>
        <w:tc>
          <w:tcPr>
            <w:tcW w:w="1525" w:type="dxa"/>
            <w:tcBorders>
              <w:top w:val="single" w:color="auto" w:sz="4" w:space="0"/>
              <w:left w:val="nil"/>
              <w:bottom w:val="single" w:color="auto" w:sz="4" w:space="0"/>
              <w:right w:val="single" w:color="auto" w:sz="4" w:space="0"/>
            </w:tcBorders>
            <w:noWrap w:val="0"/>
            <w:vAlign w:val="center"/>
          </w:tcPr>
          <w:p w14:paraId="5BAAB8FF">
            <w:pPr>
              <w:adjustRightInd w:val="0"/>
              <w:snapToGrid w:val="0"/>
              <w:spacing w:before="0" w:beforeAutospacing="0" w:after="0" w:afterAutospacing="0"/>
              <w:ind w:left="0" w:right="0"/>
              <w:jc w:val="center"/>
              <w:rPr>
                <w:rFonts w:hint="eastAsia"/>
                <w:color w:val="auto"/>
                <w:kern w:val="0"/>
              </w:rPr>
            </w:pPr>
          </w:p>
        </w:tc>
        <w:tc>
          <w:tcPr>
            <w:tcW w:w="655" w:type="dxa"/>
            <w:tcBorders>
              <w:top w:val="single" w:color="auto" w:sz="4" w:space="0"/>
              <w:left w:val="nil"/>
              <w:bottom w:val="single" w:color="auto" w:sz="4" w:space="0"/>
              <w:right w:val="single" w:color="auto" w:sz="4" w:space="0"/>
            </w:tcBorders>
            <w:noWrap w:val="0"/>
            <w:vAlign w:val="center"/>
          </w:tcPr>
          <w:p w14:paraId="24C68E29">
            <w:pPr>
              <w:adjustRightInd w:val="0"/>
              <w:snapToGrid w:val="0"/>
              <w:spacing w:before="0" w:beforeAutospacing="0" w:after="0" w:afterAutospacing="0"/>
              <w:ind w:left="0" w:right="0"/>
              <w:jc w:val="center"/>
              <w:rPr>
                <w:rFonts w:hint="default"/>
                <w:color w:val="auto"/>
                <w:kern w:val="0"/>
                <w:szCs w:val="21"/>
              </w:rPr>
            </w:pPr>
          </w:p>
        </w:tc>
      </w:tr>
      <w:tr w14:paraId="65E1E73F">
        <w:tblPrEx>
          <w:tblCellMar>
            <w:top w:w="0" w:type="dxa"/>
            <w:left w:w="108" w:type="dxa"/>
            <w:bottom w:w="0" w:type="dxa"/>
            <w:right w:w="108" w:type="dxa"/>
          </w:tblCellMar>
        </w:tblPrEx>
        <w:trPr>
          <w:trHeight w:val="440" w:hRule="atLeast"/>
          <w:jc w:val="center"/>
        </w:trPr>
        <w:tc>
          <w:tcPr>
            <w:tcW w:w="6480" w:type="dxa"/>
            <w:gridSpan w:val="2"/>
            <w:tcBorders>
              <w:top w:val="single" w:color="auto" w:sz="4" w:space="0"/>
              <w:left w:val="single" w:color="auto" w:sz="4" w:space="0"/>
              <w:bottom w:val="single" w:color="auto" w:sz="4" w:space="0"/>
              <w:right w:val="single" w:color="auto" w:sz="4" w:space="0"/>
            </w:tcBorders>
            <w:noWrap w:val="0"/>
            <w:vAlign w:val="center"/>
          </w:tcPr>
          <w:p w14:paraId="28985727">
            <w:pPr>
              <w:adjustRightInd w:val="0"/>
              <w:snapToGrid w:val="0"/>
              <w:spacing w:before="0" w:beforeAutospacing="0" w:after="0" w:afterAutospacing="0"/>
              <w:ind w:left="0" w:right="0"/>
              <w:jc w:val="center"/>
              <w:rPr>
                <w:rFonts w:hint="eastAsia"/>
                <w:color w:val="auto"/>
                <w:kern w:val="0"/>
              </w:rPr>
            </w:pPr>
            <w:r>
              <w:rPr>
                <w:rFonts w:hint="eastAsia"/>
                <w:color w:val="auto"/>
                <w:kern w:val="0"/>
              </w:rPr>
              <w:t>总分</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0B1A8935">
            <w:pPr>
              <w:adjustRightInd w:val="0"/>
              <w:snapToGrid w:val="0"/>
              <w:spacing w:before="0" w:beforeAutospacing="0" w:after="0" w:afterAutospacing="0"/>
              <w:ind w:left="0" w:right="0"/>
              <w:jc w:val="center"/>
              <w:rPr>
                <w:rFonts w:hint="default" w:eastAsia="宋体"/>
                <w:color w:val="auto"/>
                <w:kern w:val="0"/>
                <w:lang w:val="en-US" w:eastAsia="zh-CN"/>
              </w:rPr>
            </w:pPr>
            <w:r>
              <w:rPr>
                <w:rFonts w:hint="eastAsia"/>
                <w:color w:val="auto"/>
                <w:kern w:val="0"/>
                <w:lang w:val="en-US" w:eastAsia="zh-CN"/>
              </w:rPr>
              <w:t>100</w:t>
            </w:r>
          </w:p>
        </w:tc>
        <w:tc>
          <w:tcPr>
            <w:tcW w:w="1525" w:type="dxa"/>
            <w:tcBorders>
              <w:top w:val="single" w:color="auto" w:sz="4" w:space="0"/>
              <w:left w:val="nil"/>
              <w:bottom w:val="single" w:color="auto" w:sz="4" w:space="0"/>
              <w:right w:val="single" w:color="auto" w:sz="4" w:space="0"/>
            </w:tcBorders>
            <w:noWrap w:val="0"/>
            <w:vAlign w:val="center"/>
          </w:tcPr>
          <w:p w14:paraId="2A202E05">
            <w:pPr>
              <w:adjustRightInd w:val="0"/>
              <w:snapToGrid w:val="0"/>
              <w:spacing w:before="0" w:beforeAutospacing="0" w:after="0" w:afterAutospacing="0"/>
              <w:ind w:left="0" w:right="0"/>
              <w:jc w:val="center"/>
              <w:rPr>
                <w:rFonts w:hint="default"/>
                <w:color w:val="auto"/>
                <w:kern w:val="0"/>
                <w:szCs w:val="21"/>
              </w:rPr>
            </w:pPr>
          </w:p>
        </w:tc>
        <w:tc>
          <w:tcPr>
            <w:tcW w:w="655" w:type="dxa"/>
            <w:tcBorders>
              <w:top w:val="single" w:color="auto" w:sz="4" w:space="0"/>
              <w:left w:val="nil"/>
              <w:bottom w:val="single" w:color="auto" w:sz="4" w:space="0"/>
              <w:right w:val="single" w:color="auto" w:sz="4" w:space="0"/>
            </w:tcBorders>
            <w:noWrap w:val="0"/>
            <w:vAlign w:val="center"/>
          </w:tcPr>
          <w:p w14:paraId="5339CD7C">
            <w:pPr>
              <w:adjustRightInd w:val="0"/>
              <w:snapToGrid w:val="0"/>
              <w:spacing w:before="0" w:beforeAutospacing="0" w:after="0" w:afterAutospacing="0"/>
              <w:ind w:left="0" w:right="0"/>
              <w:jc w:val="center"/>
              <w:rPr>
                <w:rFonts w:hint="default"/>
                <w:color w:val="auto"/>
                <w:kern w:val="0"/>
                <w:szCs w:val="21"/>
              </w:rPr>
            </w:pPr>
          </w:p>
        </w:tc>
      </w:tr>
    </w:tbl>
    <w:p w14:paraId="111F9B50">
      <w:pPr>
        <w:pStyle w:val="11"/>
        <w:adjustRightInd w:val="0"/>
        <w:snapToGrid w:val="0"/>
        <w:rPr>
          <w:color w:val="auto"/>
        </w:rPr>
      </w:pPr>
      <w:r>
        <w:rPr>
          <w:rFonts w:hint="eastAsia" w:ascii="宋体" w:hAnsi="宋体"/>
          <w:b/>
          <w:bCs/>
          <w:color w:val="auto"/>
        </w:rPr>
        <w:t>注：</w:t>
      </w:r>
      <w:r>
        <w:rPr>
          <w:color w:val="auto"/>
        </w:rPr>
        <w:t>1.</w:t>
      </w:r>
      <w:r>
        <w:rPr>
          <w:rFonts w:hint="eastAsia" w:ascii="宋体" w:hAnsi="宋体"/>
          <w:color w:val="auto"/>
        </w:rPr>
        <w:t>《规范》：指环境空气气态污染物（</w:t>
      </w:r>
      <w:r>
        <w:rPr>
          <w:color w:val="auto"/>
        </w:rPr>
        <w:t>SO</w:t>
      </w:r>
      <w:r>
        <w:rPr>
          <w:color w:val="auto"/>
          <w:vertAlign w:val="subscript"/>
        </w:rPr>
        <w:t>2</w:t>
      </w:r>
      <w:r>
        <w:rPr>
          <w:rFonts w:hint="eastAsia" w:ascii="宋体" w:hAnsi="宋体"/>
          <w:color w:val="auto"/>
        </w:rPr>
        <w:t>、</w:t>
      </w:r>
      <w:r>
        <w:rPr>
          <w:color w:val="auto"/>
        </w:rPr>
        <w:t>NO</w:t>
      </w:r>
      <w:r>
        <w:rPr>
          <w:color w:val="auto"/>
          <w:vertAlign w:val="subscript"/>
        </w:rPr>
        <w:t>2</w:t>
      </w:r>
      <w:r>
        <w:rPr>
          <w:rFonts w:hint="eastAsia" w:ascii="宋体" w:hAnsi="宋体"/>
          <w:color w:val="auto"/>
        </w:rPr>
        <w:t>、</w:t>
      </w:r>
      <w:r>
        <w:rPr>
          <w:color w:val="auto"/>
        </w:rPr>
        <w:t>O</w:t>
      </w:r>
      <w:r>
        <w:rPr>
          <w:color w:val="auto"/>
          <w:vertAlign w:val="subscript"/>
        </w:rPr>
        <w:t>3</w:t>
      </w:r>
      <w:r>
        <w:rPr>
          <w:rFonts w:hint="eastAsia" w:ascii="宋体" w:hAnsi="宋体"/>
          <w:color w:val="auto"/>
        </w:rPr>
        <w:t>、</w:t>
      </w:r>
      <w:r>
        <w:rPr>
          <w:color w:val="auto"/>
        </w:rPr>
        <w:t>CO</w:t>
      </w:r>
      <w:r>
        <w:rPr>
          <w:rFonts w:hint="eastAsia" w:ascii="宋体" w:hAnsi="宋体"/>
          <w:color w:val="auto"/>
        </w:rPr>
        <w:t>）连续自动监测系统技术要求及检测方法</w:t>
      </w:r>
      <w:r>
        <w:rPr>
          <w:color w:val="auto"/>
        </w:rPr>
        <w:t>(HJ 654-2013)</w:t>
      </w:r>
      <w:r>
        <w:rPr>
          <w:rFonts w:hint="eastAsia" w:ascii="宋体" w:hAnsi="宋体"/>
          <w:color w:val="auto"/>
        </w:rPr>
        <w:t>、环境空气气态污染物（</w:t>
      </w:r>
      <w:r>
        <w:rPr>
          <w:color w:val="auto"/>
        </w:rPr>
        <w:t>SO</w:t>
      </w:r>
      <w:r>
        <w:rPr>
          <w:color w:val="auto"/>
          <w:vertAlign w:val="subscript"/>
        </w:rPr>
        <w:t>2</w:t>
      </w:r>
      <w:r>
        <w:rPr>
          <w:rFonts w:hint="eastAsia" w:ascii="宋体" w:hAnsi="宋体"/>
          <w:color w:val="auto"/>
        </w:rPr>
        <w:t>、</w:t>
      </w:r>
      <w:r>
        <w:rPr>
          <w:color w:val="auto"/>
        </w:rPr>
        <w:t>NO</w:t>
      </w:r>
      <w:r>
        <w:rPr>
          <w:color w:val="auto"/>
          <w:vertAlign w:val="subscript"/>
        </w:rPr>
        <w:t>2</w:t>
      </w:r>
      <w:r>
        <w:rPr>
          <w:rFonts w:hint="eastAsia" w:ascii="宋体" w:hAnsi="宋体"/>
          <w:color w:val="auto"/>
        </w:rPr>
        <w:t>、</w:t>
      </w:r>
      <w:r>
        <w:rPr>
          <w:color w:val="auto"/>
        </w:rPr>
        <w:t>O</w:t>
      </w:r>
      <w:r>
        <w:rPr>
          <w:color w:val="auto"/>
          <w:vertAlign w:val="subscript"/>
        </w:rPr>
        <w:t>3</w:t>
      </w:r>
      <w:r>
        <w:rPr>
          <w:rFonts w:hint="eastAsia" w:ascii="宋体" w:hAnsi="宋体"/>
          <w:color w:val="auto"/>
        </w:rPr>
        <w:t>、</w:t>
      </w:r>
      <w:r>
        <w:rPr>
          <w:color w:val="auto"/>
        </w:rPr>
        <w:t>CO</w:t>
      </w:r>
      <w:r>
        <w:rPr>
          <w:rFonts w:hint="eastAsia" w:ascii="宋体" w:hAnsi="宋体"/>
          <w:color w:val="auto"/>
        </w:rPr>
        <w:t>）连续自动监测系统安装验收技术规范</w:t>
      </w:r>
      <w:r>
        <w:rPr>
          <w:color w:val="auto"/>
        </w:rPr>
        <w:t>(HJ 193-2013)</w:t>
      </w:r>
      <w:r>
        <w:rPr>
          <w:rFonts w:hint="eastAsia" w:ascii="宋体" w:hAnsi="宋体"/>
          <w:color w:val="auto"/>
        </w:rPr>
        <w:t>、环境空气颗粒物（</w:t>
      </w:r>
      <w:r>
        <w:rPr>
          <w:color w:val="auto"/>
        </w:rPr>
        <w:t>PM</w:t>
      </w:r>
      <w:r>
        <w:rPr>
          <w:color w:val="auto"/>
          <w:vertAlign w:val="subscript"/>
        </w:rPr>
        <w:t>10</w:t>
      </w:r>
      <w:r>
        <w:rPr>
          <w:rFonts w:hint="eastAsia" w:ascii="宋体" w:hAnsi="宋体"/>
          <w:color w:val="auto"/>
        </w:rPr>
        <w:t>和</w:t>
      </w:r>
      <w:r>
        <w:rPr>
          <w:color w:val="auto"/>
        </w:rPr>
        <w:t>PM</w:t>
      </w:r>
      <w:r>
        <w:rPr>
          <w:color w:val="auto"/>
          <w:vertAlign w:val="subscript"/>
        </w:rPr>
        <w:t>2.5</w:t>
      </w:r>
      <w:r>
        <w:rPr>
          <w:rFonts w:hint="eastAsia" w:ascii="宋体" w:hAnsi="宋体"/>
          <w:color w:val="auto"/>
        </w:rPr>
        <w:t>）连续自动监测系统技术要求及检测方法</w:t>
      </w:r>
      <w:r>
        <w:rPr>
          <w:color w:val="auto"/>
        </w:rPr>
        <w:t>(HJ 653-20</w:t>
      </w:r>
      <w:r>
        <w:rPr>
          <w:rFonts w:hint="eastAsia"/>
          <w:color w:val="auto"/>
          <w:lang w:val="en-US" w:eastAsia="zh-CN"/>
        </w:rPr>
        <w:t>21</w:t>
      </w:r>
      <w:r>
        <w:rPr>
          <w:color w:val="auto"/>
        </w:rPr>
        <w:t>)</w:t>
      </w:r>
      <w:r>
        <w:rPr>
          <w:rFonts w:hint="eastAsia" w:ascii="宋体" w:hAnsi="宋体"/>
          <w:color w:val="auto"/>
        </w:rPr>
        <w:t>、环境空气颗粒物（</w:t>
      </w:r>
      <w:r>
        <w:rPr>
          <w:color w:val="auto"/>
        </w:rPr>
        <w:t>PM</w:t>
      </w:r>
      <w:r>
        <w:rPr>
          <w:color w:val="auto"/>
          <w:vertAlign w:val="subscript"/>
        </w:rPr>
        <w:t>10</w:t>
      </w:r>
      <w:r>
        <w:rPr>
          <w:rFonts w:hint="eastAsia" w:ascii="宋体" w:hAnsi="宋体"/>
          <w:color w:val="auto"/>
        </w:rPr>
        <w:t>和</w:t>
      </w:r>
      <w:r>
        <w:rPr>
          <w:color w:val="auto"/>
        </w:rPr>
        <w:t>PM</w:t>
      </w:r>
      <w:r>
        <w:rPr>
          <w:color w:val="auto"/>
          <w:vertAlign w:val="subscript"/>
        </w:rPr>
        <w:t>2.5</w:t>
      </w:r>
      <w:r>
        <w:rPr>
          <w:rFonts w:hint="eastAsia" w:ascii="宋体" w:hAnsi="宋体"/>
          <w:color w:val="auto"/>
        </w:rPr>
        <w:t>）连续自动监测系统安装和验收技术规范</w:t>
      </w:r>
      <w:r>
        <w:rPr>
          <w:color w:val="auto"/>
        </w:rPr>
        <w:t>(HJ 655-2013)</w:t>
      </w:r>
      <w:r>
        <w:rPr>
          <w:rFonts w:hint="eastAsia" w:ascii="宋体" w:hAnsi="宋体"/>
          <w:color w:val="auto"/>
        </w:rPr>
        <w:t>等；</w:t>
      </w:r>
      <w:r>
        <w:rPr>
          <w:color w:val="auto"/>
        </w:rPr>
        <w:t>2.</w:t>
      </w:r>
      <w:r>
        <w:rPr>
          <w:rFonts w:hint="eastAsia" w:ascii="宋体" w:hAnsi="宋体"/>
          <w:color w:val="auto"/>
        </w:rPr>
        <w:t>《标准》：指《环境空气质量标准》（</w:t>
      </w:r>
      <w:r>
        <w:rPr>
          <w:color w:val="auto"/>
        </w:rPr>
        <w:t>GB3095-2012</w:t>
      </w:r>
      <w:r>
        <w:rPr>
          <w:rFonts w:hint="eastAsia" w:ascii="宋体" w:hAnsi="宋体"/>
          <w:color w:val="auto"/>
        </w:rPr>
        <w:t>）。</w:t>
      </w:r>
    </w:p>
    <w:p w14:paraId="03B10E32">
      <w:pPr>
        <w:rPr>
          <w:rFonts w:hint="eastAsia" w:ascii="宋体" w:hAnsi="宋体"/>
          <w:b/>
          <w:bCs/>
          <w:color w:val="auto"/>
        </w:rPr>
      </w:pPr>
    </w:p>
    <w:p w14:paraId="5BFC3F6E">
      <w:pPr>
        <w:rPr>
          <w:rFonts w:hint="eastAsia" w:ascii="宋体" w:hAnsi="宋体"/>
          <w:b/>
          <w:bCs/>
          <w:color w:val="auto"/>
        </w:rPr>
      </w:pPr>
    </w:p>
    <w:p w14:paraId="388CAAA4">
      <w:pPr>
        <w:rPr>
          <w:color w:val="auto"/>
        </w:rPr>
      </w:pPr>
      <w:r>
        <w:rPr>
          <w:rFonts w:hint="eastAsia" w:ascii="宋体" w:hAnsi="宋体"/>
          <w:b/>
          <w:bCs/>
          <w:color w:val="auto"/>
        </w:rPr>
        <w:t>检查日期</w:t>
      </w:r>
      <w:r>
        <w:rPr>
          <w:rFonts w:hint="eastAsia" w:ascii="宋体" w:hAnsi="宋体"/>
          <w:color w:val="auto"/>
        </w:rPr>
        <w:t>：</w:t>
      </w:r>
      <w:r>
        <w:rPr>
          <w:color w:val="auto"/>
          <w:u w:val="single"/>
        </w:rPr>
        <w:t xml:space="preserve">              </w:t>
      </w:r>
      <w:r>
        <w:rPr>
          <w:rFonts w:hint="eastAsia"/>
          <w:color w:val="auto"/>
          <w:u w:val="single"/>
          <w:lang w:val="en-US" w:eastAsia="zh-CN"/>
        </w:rPr>
        <w:t xml:space="preserve"> </w:t>
      </w:r>
      <w:r>
        <w:rPr>
          <w:color w:val="auto"/>
          <w:u w:val="single"/>
        </w:rPr>
        <w:t xml:space="preserve">   </w:t>
      </w:r>
      <w:r>
        <w:rPr>
          <w:color w:val="auto"/>
        </w:rPr>
        <w:t xml:space="preserve"> </w:t>
      </w:r>
      <w:r>
        <w:rPr>
          <w:rFonts w:hint="eastAsia" w:ascii="宋体" w:hAnsi="宋体"/>
          <w:b/>
          <w:bCs/>
          <w:color w:val="auto"/>
        </w:rPr>
        <w:t>检查人员</w:t>
      </w:r>
      <w:r>
        <w:rPr>
          <w:rFonts w:hint="eastAsia" w:ascii="宋体" w:hAnsi="宋体"/>
          <w:color w:val="auto"/>
        </w:rPr>
        <w:t>：</w:t>
      </w:r>
      <w:r>
        <w:rPr>
          <w:color w:val="auto"/>
          <w:u w:val="single"/>
        </w:rPr>
        <w:t xml:space="preserve">                     </w:t>
      </w:r>
      <w:r>
        <w:rPr>
          <w:rFonts w:hint="eastAsia"/>
          <w:color w:val="auto"/>
          <w:u w:val="single"/>
          <w:lang w:val="en-US" w:eastAsia="zh-CN"/>
        </w:rPr>
        <w:t xml:space="preserve"> </w:t>
      </w:r>
      <w:r>
        <w:rPr>
          <w:rFonts w:hint="eastAsia"/>
          <w:b/>
          <w:color w:val="auto"/>
        </w:rPr>
        <w:t>运维人员：</w:t>
      </w:r>
      <w:r>
        <w:rPr>
          <w:color w:val="auto"/>
          <w:u w:val="thick"/>
        </w:rPr>
        <w:t xml:space="preserve">                              </w:t>
      </w:r>
    </w:p>
    <w:p w14:paraId="5096207D">
      <w:pPr>
        <w:tabs>
          <w:tab w:val="left" w:pos="2280"/>
        </w:tabs>
        <w:spacing w:line="360" w:lineRule="auto"/>
        <w:ind w:right="45"/>
        <w:contextualSpacing/>
        <w:jc w:val="left"/>
        <w:rPr>
          <w:rFonts w:hint="eastAsia" w:ascii="黑体" w:hAnsi="黑体" w:eastAsia="黑体" w:cs="黑体"/>
          <w:color w:val="auto"/>
          <w:sz w:val="32"/>
          <w:szCs w:val="32"/>
          <w:lang w:val="en-US" w:eastAsia="zh-CN"/>
        </w:rPr>
      </w:pPr>
    </w:p>
    <w:p w14:paraId="5E93570F">
      <w:pPr>
        <w:spacing w:line="240" w:lineRule="auto"/>
        <w:ind w:right="0"/>
        <w:contextualSpacing w:val="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3A1C2DEE">
      <w:pPr>
        <w:tabs>
          <w:tab w:val="left" w:pos="2280"/>
        </w:tabs>
        <w:spacing w:line="360" w:lineRule="auto"/>
        <w:ind w:right="45"/>
        <w:contextualSpacing/>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附表2</w:t>
      </w:r>
    </w:p>
    <w:p w14:paraId="58D4F85B">
      <w:pPr>
        <w:tabs>
          <w:tab w:val="left" w:pos="2280"/>
        </w:tabs>
        <w:spacing w:line="360" w:lineRule="auto"/>
        <w:ind w:right="45"/>
        <w:contextualSpacing/>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区控环境空气自动监测质量现场检查</w:t>
      </w:r>
      <w:r>
        <w:rPr>
          <w:rFonts w:hint="eastAsia" w:ascii="方正小标宋简体" w:hAnsi="方正小标宋简体" w:eastAsia="方正小标宋简体" w:cs="方正小标宋简体"/>
          <w:color w:val="auto"/>
          <w:sz w:val="32"/>
          <w:szCs w:val="32"/>
          <w:lang w:val="en-US" w:eastAsia="zh-CN"/>
        </w:rPr>
        <w:t>季度</w:t>
      </w:r>
      <w:r>
        <w:rPr>
          <w:rFonts w:hint="eastAsia" w:ascii="方正小标宋简体" w:hAnsi="方正小标宋简体" w:eastAsia="方正小标宋简体" w:cs="方正小标宋简体"/>
          <w:color w:val="auto"/>
          <w:sz w:val="32"/>
          <w:szCs w:val="32"/>
        </w:rPr>
        <w:t>评分表（非甲烷总烃）</w:t>
      </w:r>
    </w:p>
    <w:p w14:paraId="2B8639A2">
      <w:pPr>
        <w:snapToGrid w:val="0"/>
        <w:spacing w:before="156" w:after="156" w:line="360" w:lineRule="auto"/>
        <w:jc w:val="left"/>
        <w:rPr>
          <w:b/>
          <w:bCs/>
          <w:color w:val="auto"/>
        </w:rPr>
      </w:pPr>
      <w:r>
        <w:rPr>
          <w:rFonts w:hint="eastAsia" w:ascii="宋体" w:hAnsi="宋体"/>
          <w:b/>
          <w:bCs/>
          <w:color w:val="auto"/>
          <w:kern w:val="0"/>
        </w:rPr>
        <w:t>站点所在地</w:t>
      </w:r>
      <w:r>
        <w:rPr>
          <w:rFonts w:hint="eastAsia" w:ascii="宋体" w:hAnsi="宋体"/>
          <w:color w:val="auto"/>
          <w:kern w:val="0"/>
        </w:rPr>
        <w:t>：</w:t>
      </w:r>
      <w:r>
        <w:rPr>
          <w:rFonts w:hint="eastAsia" w:ascii="宋体" w:hAnsi="宋体"/>
          <w:color w:val="auto"/>
          <w:kern w:val="0"/>
          <w:u w:val="single"/>
          <w:lang w:val="en-US" w:eastAsia="zh-CN"/>
        </w:rPr>
        <w:t xml:space="preserve"> </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rFonts w:hint="eastAsia" w:ascii="宋体" w:hAnsi="宋体"/>
          <w:color w:val="auto"/>
          <w:kern w:val="0"/>
        </w:rPr>
        <w:t>市</w:t>
      </w:r>
      <w:r>
        <w:rPr>
          <w:color w:val="auto"/>
          <w:kern w:val="0"/>
        </w:rPr>
        <w:t xml:space="preserve">  </w:t>
      </w:r>
      <w:r>
        <w:rPr>
          <w:rFonts w:hint="eastAsia"/>
          <w:color w:val="auto"/>
          <w:kern w:val="0"/>
          <w:lang w:val="en-US" w:eastAsia="zh-CN"/>
        </w:rPr>
        <w:t xml:space="preserve"> </w:t>
      </w:r>
      <w:r>
        <w:rPr>
          <w:rFonts w:hint="eastAsia" w:ascii="宋体" w:hAnsi="宋体"/>
          <w:b/>
          <w:bCs/>
          <w:color w:val="auto"/>
          <w:kern w:val="0"/>
        </w:rPr>
        <w:t>子站名称：</w:t>
      </w:r>
      <w:r>
        <w:rPr>
          <w:rFonts w:hint="eastAsia" w:ascii="宋体" w:hAnsi="宋体"/>
          <w:b w:val="0"/>
          <w:bCs w:val="0"/>
          <w:color w:val="auto"/>
          <w:kern w:val="0"/>
          <w:u w:val="single"/>
          <w:lang w:val="en-US" w:eastAsia="zh-CN"/>
        </w:rPr>
        <w:t>新市环保局</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r>
        <w:rPr>
          <w:rFonts w:hint="eastAsia"/>
          <w:color w:val="auto"/>
          <w:kern w:val="0"/>
          <w:u w:val="single"/>
          <w:lang w:val="en-US" w:eastAsia="zh-CN"/>
        </w:rPr>
        <w:t xml:space="preserve">     </w:t>
      </w:r>
      <w:r>
        <w:rPr>
          <w:color w:val="auto"/>
          <w:kern w:val="0"/>
          <w:u w:val="single"/>
        </w:rPr>
        <w:t xml:space="preserve">   </w:t>
      </w:r>
    </w:p>
    <w:p w14:paraId="57F6127A">
      <w:pPr>
        <w:snapToGrid w:val="0"/>
        <w:spacing w:line="360" w:lineRule="auto"/>
        <w:rPr>
          <w:rFonts w:hint="default" w:eastAsia="宋体"/>
          <w:color w:val="auto"/>
          <w:kern w:val="0"/>
          <w:u w:val="single"/>
          <w:lang w:val="en-US" w:eastAsia="zh-CN"/>
        </w:rPr>
      </w:pPr>
      <w:r>
        <w:rPr>
          <w:rFonts w:hint="eastAsia" w:ascii="宋体" w:hAnsi="宋体"/>
          <w:b/>
          <w:bCs/>
          <w:color w:val="auto"/>
          <w:kern w:val="0"/>
        </w:rPr>
        <w:t>仪器型号</w:t>
      </w:r>
      <w:r>
        <w:rPr>
          <w:rFonts w:hint="eastAsia" w:ascii="宋体" w:hAnsi="宋体"/>
          <w:color w:val="auto"/>
          <w:kern w:val="0"/>
        </w:rPr>
        <w:t>：</w:t>
      </w:r>
      <w:r>
        <w:rPr>
          <w:rFonts w:hint="eastAsia"/>
          <w:color w:val="auto"/>
          <w:kern w:val="0"/>
          <w:u w:val="single"/>
        </w:rPr>
        <w:t xml:space="preserve"> </w:t>
      </w:r>
      <w:r>
        <w:rPr>
          <w:color w:val="auto"/>
          <w:kern w:val="0"/>
          <w:u w:val="single"/>
        </w:rPr>
        <w:t xml:space="preserve">                </w:t>
      </w:r>
      <w:r>
        <w:rPr>
          <w:rFonts w:hint="eastAsia"/>
          <w:color w:val="auto"/>
          <w:kern w:val="0"/>
          <w:u w:val="single"/>
          <w:lang w:val="en-US" w:eastAsia="zh-CN"/>
        </w:rPr>
        <w:t xml:space="preserve">         </w:t>
      </w:r>
      <w:r>
        <w:rPr>
          <w:rFonts w:hint="eastAsia"/>
          <w:color w:val="auto"/>
          <w:kern w:val="0"/>
          <w:u w:val="none"/>
          <w:lang w:val="en-US" w:eastAsia="zh-CN"/>
        </w:rPr>
        <w:t xml:space="preserve">  </w:t>
      </w:r>
      <w:r>
        <w:rPr>
          <w:rFonts w:hint="eastAsia"/>
          <w:b/>
          <w:bCs/>
          <w:color w:val="auto"/>
          <w:kern w:val="0"/>
          <w:u w:val="none"/>
          <w:lang w:val="en-US" w:eastAsia="zh-CN"/>
        </w:rPr>
        <w:t xml:space="preserve">考核时段： </w:t>
      </w:r>
      <w:r>
        <w:rPr>
          <w:rFonts w:hint="eastAsia"/>
          <w:b/>
          <w:bCs/>
          <w:color w:val="auto"/>
          <w:kern w:val="0"/>
          <w:u w:val="single"/>
          <w:lang w:val="en-US" w:eastAsia="zh-CN"/>
        </w:rPr>
        <w:t xml:space="preserve">                                       </w:t>
      </w:r>
      <w:r>
        <w:rPr>
          <w:rFonts w:hint="eastAsia"/>
          <w:b/>
          <w:bCs/>
          <w:color w:val="auto"/>
          <w:kern w:val="0"/>
          <w:u w:val="none"/>
          <w:lang w:val="en-US" w:eastAsia="zh-CN"/>
        </w:rPr>
        <w:t xml:space="preserve"> </w:t>
      </w:r>
    </w:p>
    <w:tbl>
      <w:tblPr>
        <w:tblStyle w:val="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58"/>
        <w:gridCol w:w="4642"/>
        <w:gridCol w:w="1080"/>
        <w:gridCol w:w="1440"/>
        <w:gridCol w:w="720"/>
      </w:tblGrid>
      <w:tr w14:paraId="4F7C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90870D6">
            <w:pPr>
              <w:adjustRightInd w:val="0"/>
              <w:snapToGrid w:val="0"/>
              <w:spacing w:before="0" w:beforeAutospacing="0" w:after="0" w:afterAutospacing="0"/>
              <w:ind w:left="44" w:leftChars="20" w:right="0"/>
              <w:jc w:val="center"/>
              <w:rPr>
                <w:rFonts w:hint="default"/>
                <w:b/>
                <w:bCs/>
                <w:color w:val="auto"/>
                <w:szCs w:val="21"/>
              </w:rPr>
            </w:pPr>
            <w:r>
              <w:rPr>
                <w:rFonts w:hint="eastAsia"/>
                <w:b/>
                <w:bCs/>
                <w:color w:val="auto"/>
              </w:rPr>
              <w:t>检查内容</w:t>
            </w:r>
          </w:p>
        </w:tc>
        <w:tc>
          <w:tcPr>
            <w:tcW w:w="5400" w:type="dxa"/>
            <w:gridSpan w:val="2"/>
            <w:vAlign w:val="center"/>
          </w:tcPr>
          <w:p w14:paraId="5E6CB968">
            <w:pPr>
              <w:adjustRightInd w:val="0"/>
              <w:snapToGrid w:val="0"/>
              <w:spacing w:before="0" w:beforeAutospacing="0" w:after="0" w:afterAutospacing="0"/>
              <w:ind w:left="0" w:right="0"/>
              <w:jc w:val="center"/>
              <w:rPr>
                <w:rFonts w:hint="default"/>
                <w:b/>
                <w:bCs/>
                <w:color w:val="auto"/>
                <w:szCs w:val="21"/>
              </w:rPr>
            </w:pPr>
            <w:r>
              <w:rPr>
                <w:rFonts w:hint="eastAsia"/>
                <w:b/>
                <w:bCs/>
                <w:color w:val="auto"/>
              </w:rPr>
              <w:t>检查要点</w:t>
            </w:r>
          </w:p>
        </w:tc>
        <w:tc>
          <w:tcPr>
            <w:tcW w:w="1080" w:type="dxa"/>
            <w:vAlign w:val="center"/>
          </w:tcPr>
          <w:p w14:paraId="0E477CEC">
            <w:pPr>
              <w:adjustRightInd w:val="0"/>
              <w:snapToGrid w:val="0"/>
              <w:spacing w:before="0" w:beforeAutospacing="0" w:after="0" w:afterAutospacing="0"/>
              <w:ind w:left="0" w:right="0"/>
              <w:jc w:val="center"/>
              <w:rPr>
                <w:rFonts w:hint="default"/>
                <w:b/>
                <w:bCs/>
                <w:color w:val="auto"/>
                <w:szCs w:val="21"/>
              </w:rPr>
            </w:pPr>
            <w:r>
              <w:rPr>
                <w:rFonts w:hint="eastAsia"/>
                <w:b/>
                <w:bCs/>
                <w:color w:val="auto"/>
              </w:rPr>
              <w:t>单项分值</w:t>
            </w:r>
          </w:p>
        </w:tc>
        <w:tc>
          <w:tcPr>
            <w:tcW w:w="1440" w:type="dxa"/>
            <w:vAlign w:val="center"/>
          </w:tcPr>
          <w:p w14:paraId="33D29841">
            <w:pPr>
              <w:adjustRightInd w:val="0"/>
              <w:snapToGrid w:val="0"/>
              <w:spacing w:before="0" w:beforeAutospacing="0" w:after="0" w:afterAutospacing="0"/>
              <w:ind w:left="0" w:right="0"/>
              <w:jc w:val="center"/>
              <w:rPr>
                <w:rFonts w:hint="default"/>
                <w:b/>
                <w:bCs/>
                <w:color w:val="auto"/>
                <w:szCs w:val="21"/>
              </w:rPr>
            </w:pPr>
            <w:r>
              <w:rPr>
                <w:rFonts w:hint="eastAsia"/>
                <w:b/>
                <w:bCs/>
                <w:color w:val="auto"/>
              </w:rPr>
              <w:t>评分说明</w:t>
            </w:r>
          </w:p>
        </w:tc>
        <w:tc>
          <w:tcPr>
            <w:tcW w:w="720" w:type="dxa"/>
            <w:vAlign w:val="center"/>
          </w:tcPr>
          <w:p w14:paraId="366F5B72">
            <w:pPr>
              <w:adjustRightInd w:val="0"/>
              <w:snapToGrid w:val="0"/>
              <w:spacing w:before="0" w:beforeAutospacing="0" w:after="0" w:afterAutospacing="0"/>
              <w:ind w:left="0" w:right="0"/>
              <w:jc w:val="center"/>
              <w:rPr>
                <w:rFonts w:hint="default"/>
                <w:b/>
                <w:bCs/>
                <w:color w:val="auto"/>
                <w:szCs w:val="21"/>
              </w:rPr>
            </w:pPr>
            <w:r>
              <w:rPr>
                <w:rFonts w:hint="eastAsia"/>
                <w:b/>
                <w:bCs/>
                <w:color w:val="auto"/>
              </w:rPr>
              <w:t>得分</w:t>
            </w:r>
          </w:p>
        </w:tc>
      </w:tr>
      <w:tr w14:paraId="3AC8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14:paraId="4A160402">
            <w:pPr>
              <w:adjustRightInd w:val="0"/>
              <w:snapToGrid w:val="0"/>
              <w:spacing w:before="0" w:beforeAutospacing="0" w:after="0" w:afterAutospacing="0"/>
              <w:ind w:left="0" w:right="0"/>
              <w:jc w:val="center"/>
              <w:rPr>
                <w:rFonts w:hint="default"/>
                <w:b/>
                <w:bCs/>
                <w:color w:val="auto"/>
                <w:szCs w:val="21"/>
              </w:rPr>
            </w:pPr>
            <w:r>
              <w:rPr>
                <w:rFonts w:hint="default"/>
                <w:b/>
                <w:bCs/>
                <w:color w:val="auto"/>
              </w:rPr>
              <w:t>1.</w:t>
            </w:r>
            <w:r>
              <w:rPr>
                <w:rFonts w:hint="eastAsia"/>
                <w:b/>
                <w:bCs/>
                <w:color w:val="auto"/>
              </w:rPr>
              <w:t>站房及采样系统情况</w:t>
            </w:r>
          </w:p>
          <w:p w14:paraId="3214625F">
            <w:pPr>
              <w:adjustRightInd w:val="0"/>
              <w:snapToGrid w:val="0"/>
              <w:spacing w:before="0" w:beforeAutospacing="0" w:after="0" w:afterAutospacing="0"/>
              <w:ind w:left="0" w:right="0"/>
              <w:jc w:val="center"/>
              <w:rPr>
                <w:rFonts w:hint="default"/>
                <w:b/>
                <w:bCs/>
                <w:color w:val="auto"/>
                <w:szCs w:val="21"/>
              </w:rPr>
            </w:pPr>
            <w:r>
              <w:rPr>
                <w:rFonts w:hint="eastAsia"/>
                <w:b/>
                <w:bCs/>
                <w:color w:val="auto"/>
              </w:rPr>
              <w:t>（</w:t>
            </w:r>
            <w:r>
              <w:rPr>
                <w:rFonts w:hint="eastAsia"/>
                <w:b/>
                <w:bCs/>
                <w:color w:val="auto"/>
                <w:lang w:val="en-US" w:eastAsia="zh-CN"/>
              </w:rPr>
              <w:t>14.5</w:t>
            </w:r>
            <w:r>
              <w:rPr>
                <w:rFonts w:hint="eastAsia"/>
                <w:b/>
                <w:bCs/>
                <w:color w:val="auto"/>
              </w:rPr>
              <w:t>分）</w:t>
            </w:r>
          </w:p>
        </w:tc>
        <w:tc>
          <w:tcPr>
            <w:tcW w:w="5400" w:type="dxa"/>
            <w:gridSpan w:val="2"/>
            <w:vAlign w:val="center"/>
          </w:tcPr>
          <w:p w14:paraId="78F133D4">
            <w:pPr>
              <w:adjustRightInd w:val="0"/>
              <w:snapToGrid w:val="0"/>
              <w:spacing w:before="0" w:beforeAutospacing="0" w:after="0" w:afterAutospacing="0"/>
              <w:ind w:left="0" w:right="0"/>
              <w:jc w:val="left"/>
              <w:rPr>
                <w:rFonts w:hint="default"/>
                <w:color w:val="auto"/>
                <w:szCs w:val="21"/>
              </w:rPr>
            </w:pPr>
            <w:r>
              <w:rPr>
                <w:rFonts w:hint="eastAsia"/>
                <w:color w:val="auto"/>
              </w:rPr>
              <w:t>站房温度</w:t>
            </w:r>
            <w:r>
              <w:rPr>
                <w:rFonts w:hint="default"/>
                <w:color w:val="auto"/>
              </w:rPr>
              <w:softHyphen/>
            </w:r>
            <w:r>
              <w:rPr>
                <w:rFonts w:hint="default"/>
                <w:color w:val="auto"/>
              </w:rPr>
              <w:softHyphen/>
            </w:r>
            <w:r>
              <w:rPr>
                <w:rFonts w:hint="default"/>
                <w:color w:val="auto"/>
              </w:rPr>
              <w:softHyphen/>
            </w:r>
            <w:r>
              <w:rPr>
                <w:rFonts w:hint="default"/>
                <w:color w:val="auto"/>
              </w:rPr>
              <w:softHyphen/>
            </w:r>
            <w:r>
              <w:rPr>
                <w:rFonts w:hint="default"/>
                <w:color w:val="auto"/>
              </w:rPr>
              <w:t>__________</w:t>
            </w:r>
            <w:r>
              <w:rPr>
                <w:rFonts w:hint="eastAsia"/>
                <w:color w:val="auto"/>
              </w:rPr>
              <w:t>（</w:t>
            </w:r>
            <w:r>
              <w:rPr>
                <w:rFonts w:hint="default"/>
                <w:color w:val="auto"/>
              </w:rPr>
              <w:t>15</w:t>
            </w:r>
            <w:r>
              <w:rPr>
                <w:rFonts w:hint="eastAsia"/>
                <w:color w:val="auto"/>
              </w:rPr>
              <w:t>-35℃）</w:t>
            </w:r>
            <w:r>
              <w:rPr>
                <w:rFonts w:hint="default"/>
                <w:color w:val="auto"/>
              </w:rPr>
              <w:t xml:space="preserve"> </w:t>
            </w:r>
          </w:p>
        </w:tc>
        <w:tc>
          <w:tcPr>
            <w:tcW w:w="1080" w:type="dxa"/>
            <w:vAlign w:val="center"/>
          </w:tcPr>
          <w:p w14:paraId="35AF9E03">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1</w:t>
            </w:r>
          </w:p>
        </w:tc>
        <w:tc>
          <w:tcPr>
            <w:tcW w:w="1440" w:type="dxa"/>
            <w:vAlign w:val="center"/>
          </w:tcPr>
          <w:p w14:paraId="60D81411">
            <w:pPr>
              <w:adjustRightInd w:val="0"/>
              <w:snapToGrid w:val="0"/>
              <w:spacing w:before="0" w:beforeAutospacing="0" w:after="0" w:afterAutospacing="0"/>
              <w:ind w:left="0" w:right="0"/>
              <w:jc w:val="center"/>
              <w:rPr>
                <w:rFonts w:hint="default"/>
                <w:color w:val="auto"/>
                <w:szCs w:val="21"/>
              </w:rPr>
            </w:pPr>
          </w:p>
        </w:tc>
        <w:tc>
          <w:tcPr>
            <w:tcW w:w="720" w:type="dxa"/>
            <w:vAlign w:val="center"/>
          </w:tcPr>
          <w:p w14:paraId="5C66A866">
            <w:pPr>
              <w:adjustRightInd w:val="0"/>
              <w:snapToGrid w:val="0"/>
              <w:spacing w:before="0" w:beforeAutospacing="0" w:after="0" w:afterAutospacing="0"/>
              <w:ind w:left="0" w:right="0"/>
              <w:jc w:val="center"/>
              <w:rPr>
                <w:rFonts w:hint="default"/>
                <w:color w:val="auto"/>
                <w:szCs w:val="21"/>
              </w:rPr>
            </w:pPr>
          </w:p>
        </w:tc>
      </w:tr>
      <w:tr w14:paraId="63EF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0798043E">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639E150D">
            <w:pPr>
              <w:adjustRightInd w:val="0"/>
              <w:snapToGrid w:val="0"/>
              <w:spacing w:before="0" w:beforeAutospacing="0" w:after="0" w:afterAutospacing="0"/>
              <w:ind w:left="0" w:right="0"/>
              <w:jc w:val="left"/>
              <w:rPr>
                <w:rFonts w:hint="default"/>
                <w:color w:val="auto"/>
                <w:szCs w:val="21"/>
              </w:rPr>
            </w:pPr>
            <w:r>
              <w:rPr>
                <w:rFonts w:hint="eastAsia"/>
                <w:color w:val="auto"/>
              </w:rPr>
              <w:t>相对湿度</w:t>
            </w:r>
            <w:r>
              <w:rPr>
                <w:rFonts w:hint="default"/>
                <w:color w:val="auto"/>
              </w:rPr>
              <w:t>__________</w:t>
            </w:r>
            <w:r>
              <w:rPr>
                <w:rFonts w:hint="eastAsia"/>
                <w:color w:val="auto"/>
              </w:rPr>
              <w:t>（</w:t>
            </w:r>
            <w:r>
              <w:rPr>
                <w:rFonts w:hint="default"/>
                <w:color w:val="auto"/>
              </w:rPr>
              <w:t>80%</w:t>
            </w:r>
            <w:r>
              <w:rPr>
                <w:rFonts w:hint="eastAsia"/>
                <w:color w:val="auto"/>
              </w:rPr>
              <w:t>以下）</w:t>
            </w:r>
          </w:p>
        </w:tc>
        <w:tc>
          <w:tcPr>
            <w:tcW w:w="1080" w:type="dxa"/>
            <w:vAlign w:val="center"/>
          </w:tcPr>
          <w:p w14:paraId="71204AC9">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1</w:t>
            </w:r>
          </w:p>
        </w:tc>
        <w:tc>
          <w:tcPr>
            <w:tcW w:w="1440" w:type="dxa"/>
            <w:vAlign w:val="center"/>
          </w:tcPr>
          <w:p w14:paraId="344D7175">
            <w:pPr>
              <w:adjustRightInd w:val="0"/>
              <w:snapToGrid w:val="0"/>
              <w:spacing w:before="0" w:beforeAutospacing="0" w:after="0" w:afterAutospacing="0"/>
              <w:ind w:left="0" w:right="0"/>
              <w:jc w:val="left"/>
              <w:rPr>
                <w:rFonts w:hint="default"/>
                <w:color w:val="auto"/>
                <w:szCs w:val="21"/>
              </w:rPr>
            </w:pPr>
          </w:p>
        </w:tc>
        <w:tc>
          <w:tcPr>
            <w:tcW w:w="720" w:type="dxa"/>
            <w:vAlign w:val="center"/>
          </w:tcPr>
          <w:p w14:paraId="6A1A8A71">
            <w:pPr>
              <w:adjustRightInd w:val="0"/>
              <w:snapToGrid w:val="0"/>
              <w:spacing w:before="0" w:beforeAutospacing="0" w:after="0" w:afterAutospacing="0"/>
              <w:ind w:left="0" w:right="0"/>
              <w:jc w:val="left"/>
              <w:rPr>
                <w:rFonts w:hint="default"/>
                <w:color w:val="auto"/>
                <w:szCs w:val="21"/>
              </w:rPr>
            </w:pPr>
          </w:p>
        </w:tc>
      </w:tr>
      <w:tr w14:paraId="6853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52EDE779">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0027AE06">
            <w:pPr>
              <w:adjustRightInd w:val="0"/>
              <w:snapToGrid w:val="0"/>
              <w:spacing w:before="0" w:beforeAutospacing="0" w:after="0" w:afterAutospacing="0"/>
              <w:ind w:left="0" w:right="0"/>
              <w:jc w:val="left"/>
              <w:rPr>
                <w:rFonts w:hint="default"/>
                <w:color w:val="auto"/>
                <w:szCs w:val="21"/>
              </w:rPr>
            </w:pPr>
            <w:r>
              <w:rPr>
                <w:rFonts w:hint="eastAsia"/>
                <w:color w:val="auto"/>
              </w:rPr>
              <w:t>站房是否漏雨</w:t>
            </w:r>
          </w:p>
        </w:tc>
        <w:tc>
          <w:tcPr>
            <w:tcW w:w="1080" w:type="dxa"/>
            <w:vAlign w:val="center"/>
          </w:tcPr>
          <w:p w14:paraId="71DD6D2D">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1</w:t>
            </w:r>
          </w:p>
        </w:tc>
        <w:tc>
          <w:tcPr>
            <w:tcW w:w="1440" w:type="dxa"/>
            <w:vAlign w:val="center"/>
          </w:tcPr>
          <w:p w14:paraId="715193B6">
            <w:pPr>
              <w:adjustRightInd w:val="0"/>
              <w:snapToGrid w:val="0"/>
              <w:spacing w:before="0" w:beforeAutospacing="0" w:after="0" w:afterAutospacing="0"/>
              <w:ind w:left="0" w:right="0"/>
              <w:jc w:val="center"/>
              <w:rPr>
                <w:rFonts w:hint="default"/>
                <w:color w:val="auto"/>
                <w:szCs w:val="21"/>
              </w:rPr>
            </w:pPr>
          </w:p>
        </w:tc>
        <w:tc>
          <w:tcPr>
            <w:tcW w:w="720" w:type="dxa"/>
            <w:vAlign w:val="center"/>
          </w:tcPr>
          <w:p w14:paraId="73E3D685">
            <w:pPr>
              <w:adjustRightInd w:val="0"/>
              <w:snapToGrid w:val="0"/>
              <w:spacing w:before="0" w:beforeAutospacing="0" w:after="0" w:afterAutospacing="0"/>
              <w:ind w:left="0" w:right="0"/>
              <w:jc w:val="center"/>
              <w:rPr>
                <w:rFonts w:hint="default"/>
                <w:color w:val="auto"/>
                <w:szCs w:val="21"/>
              </w:rPr>
            </w:pPr>
          </w:p>
        </w:tc>
      </w:tr>
      <w:tr w14:paraId="32AE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63C088DE">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31787E49">
            <w:pPr>
              <w:adjustRightInd w:val="0"/>
              <w:snapToGrid w:val="0"/>
              <w:spacing w:before="0" w:beforeAutospacing="0" w:after="0" w:afterAutospacing="0"/>
              <w:ind w:left="0" w:right="0"/>
              <w:jc w:val="left"/>
              <w:rPr>
                <w:rFonts w:hint="default"/>
                <w:color w:val="auto"/>
                <w:szCs w:val="21"/>
              </w:rPr>
            </w:pPr>
            <w:r>
              <w:rPr>
                <w:rFonts w:hint="eastAsia"/>
                <w:color w:val="auto"/>
              </w:rPr>
              <w:t>是否有避雷针接地、电源防雷、网络防雷。避雷针是否有检定证书</w:t>
            </w:r>
          </w:p>
        </w:tc>
        <w:tc>
          <w:tcPr>
            <w:tcW w:w="1080" w:type="dxa"/>
            <w:vAlign w:val="center"/>
          </w:tcPr>
          <w:p w14:paraId="6EBFFA1E">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1</w:t>
            </w:r>
          </w:p>
        </w:tc>
        <w:tc>
          <w:tcPr>
            <w:tcW w:w="1440" w:type="dxa"/>
            <w:vAlign w:val="center"/>
          </w:tcPr>
          <w:p w14:paraId="20136F60">
            <w:pPr>
              <w:adjustRightInd w:val="0"/>
              <w:snapToGrid w:val="0"/>
              <w:spacing w:before="0" w:beforeAutospacing="0" w:after="0" w:afterAutospacing="0"/>
              <w:ind w:left="0" w:right="0"/>
              <w:jc w:val="left"/>
              <w:rPr>
                <w:rFonts w:hint="default"/>
                <w:color w:val="auto"/>
                <w:szCs w:val="21"/>
              </w:rPr>
            </w:pPr>
          </w:p>
        </w:tc>
        <w:tc>
          <w:tcPr>
            <w:tcW w:w="720" w:type="dxa"/>
            <w:vAlign w:val="center"/>
          </w:tcPr>
          <w:p w14:paraId="0AC4C39D">
            <w:pPr>
              <w:adjustRightInd w:val="0"/>
              <w:snapToGrid w:val="0"/>
              <w:spacing w:before="0" w:beforeAutospacing="0" w:after="0" w:afterAutospacing="0"/>
              <w:ind w:left="0" w:right="0"/>
              <w:jc w:val="left"/>
              <w:rPr>
                <w:rFonts w:hint="default"/>
                <w:color w:val="auto"/>
                <w:szCs w:val="21"/>
              </w:rPr>
            </w:pPr>
          </w:p>
        </w:tc>
      </w:tr>
      <w:tr w14:paraId="3ADB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502DB1C8">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2ECF1756">
            <w:pPr>
              <w:adjustRightInd w:val="0"/>
              <w:snapToGrid w:val="0"/>
              <w:spacing w:before="0" w:beforeAutospacing="0" w:after="0" w:afterAutospacing="0"/>
              <w:ind w:left="0" w:right="0"/>
              <w:jc w:val="left"/>
              <w:rPr>
                <w:rFonts w:hint="default"/>
                <w:color w:val="auto"/>
                <w:szCs w:val="21"/>
              </w:rPr>
            </w:pPr>
            <w:r>
              <w:rPr>
                <w:rFonts w:hint="eastAsia"/>
                <w:color w:val="auto"/>
              </w:rPr>
              <w:t>防火器材是否在有效期内</w:t>
            </w:r>
          </w:p>
        </w:tc>
        <w:tc>
          <w:tcPr>
            <w:tcW w:w="1080" w:type="dxa"/>
            <w:vAlign w:val="center"/>
          </w:tcPr>
          <w:p w14:paraId="405B577F">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1</w:t>
            </w:r>
          </w:p>
        </w:tc>
        <w:tc>
          <w:tcPr>
            <w:tcW w:w="1440" w:type="dxa"/>
            <w:vAlign w:val="center"/>
          </w:tcPr>
          <w:p w14:paraId="15BE08FA">
            <w:pPr>
              <w:adjustRightInd w:val="0"/>
              <w:snapToGrid w:val="0"/>
              <w:spacing w:before="0" w:beforeAutospacing="0" w:after="0" w:afterAutospacing="0"/>
              <w:ind w:left="0" w:right="0"/>
              <w:jc w:val="left"/>
              <w:rPr>
                <w:rFonts w:hint="default"/>
                <w:color w:val="auto"/>
                <w:szCs w:val="21"/>
              </w:rPr>
            </w:pPr>
          </w:p>
        </w:tc>
        <w:tc>
          <w:tcPr>
            <w:tcW w:w="720" w:type="dxa"/>
            <w:vAlign w:val="center"/>
          </w:tcPr>
          <w:p w14:paraId="380FD5F8">
            <w:pPr>
              <w:adjustRightInd w:val="0"/>
              <w:snapToGrid w:val="0"/>
              <w:spacing w:before="0" w:beforeAutospacing="0" w:after="0" w:afterAutospacing="0"/>
              <w:ind w:left="0" w:right="0"/>
              <w:jc w:val="left"/>
              <w:rPr>
                <w:rFonts w:hint="default"/>
                <w:color w:val="auto"/>
                <w:szCs w:val="21"/>
              </w:rPr>
            </w:pPr>
          </w:p>
        </w:tc>
      </w:tr>
      <w:tr w14:paraId="3EE8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016925A2">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1E7FDD53">
            <w:pPr>
              <w:adjustRightInd w:val="0"/>
              <w:snapToGrid w:val="0"/>
              <w:spacing w:before="0" w:beforeAutospacing="0" w:after="0" w:afterAutospacing="0"/>
              <w:ind w:left="0" w:right="0"/>
              <w:jc w:val="left"/>
              <w:rPr>
                <w:rFonts w:hint="default"/>
                <w:color w:val="auto"/>
                <w:szCs w:val="21"/>
              </w:rPr>
            </w:pPr>
            <w:r>
              <w:rPr>
                <w:rFonts w:hint="eastAsia"/>
                <w:color w:val="auto"/>
              </w:rPr>
              <w:t>站房内其他辅助设施（排风扇、空调、照明、工具箱）是否正常</w:t>
            </w:r>
          </w:p>
        </w:tc>
        <w:tc>
          <w:tcPr>
            <w:tcW w:w="1080" w:type="dxa"/>
            <w:vAlign w:val="center"/>
          </w:tcPr>
          <w:p w14:paraId="57385A54">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1</w:t>
            </w:r>
          </w:p>
        </w:tc>
        <w:tc>
          <w:tcPr>
            <w:tcW w:w="1440" w:type="dxa"/>
            <w:vAlign w:val="center"/>
          </w:tcPr>
          <w:p w14:paraId="77464EEA">
            <w:pPr>
              <w:adjustRightInd w:val="0"/>
              <w:snapToGrid w:val="0"/>
              <w:spacing w:before="0" w:beforeAutospacing="0" w:after="0" w:afterAutospacing="0"/>
              <w:ind w:left="0" w:right="0"/>
              <w:jc w:val="left"/>
              <w:rPr>
                <w:rFonts w:hint="default"/>
                <w:color w:val="auto"/>
                <w:szCs w:val="21"/>
              </w:rPr>
            </w:pPr>
            <w:r>
              <w:rPr>
                <w:rFonts w:hint="eastAsia"/>
                <w:color w:val="auto"/>
              </w:rPr>
              <w:t>缺失一项扣</w:t>
            </w:r>
            <w:r>
              <w:rPr>
                <w:rFonts w:hint="eastAsia"/>
                <w:color w:val="auto"/>
                <w:lang w:val="en-US" w:eastAsia="zh-CN"/>
              </w:rPr>
              <w:t>1</w:t>
            </w:r>
            <w:r>
              <w:rPr>
                <w:rFonts w:hint="eastAsia" w:ascii="宋体" w:hAnsi="宋体"/>
                <w:color w:val="auto"/>
              </w:rPr>
              <w:t>分</w:t>
            </w:r>
          </w:p>
        </w:tc>
        <w:tc>
          <w:tcPr>
            <w:tcW w:w="720" w:type="dxa"/>
            <w:vAlign w:val="center"/>
          </w:tcPr>
          <w:p w14:paraId="02C4CFFF">
            <w:pPr>
              <w:adjustRightInd w:val="0"/>
              <w:snapToGrid w:val="0"/>
              <w:spacing w:before="0" w:beforeAutospacing="0" w:after="0" w:afterAutospacing="0"/>
              <w:ind w:left="0" w:right="0"/>
              <w:jc w:val="left"/>
              <w:rPr>
                <w:rFonts w:hint="default"/>
                <w:color w:val="auto"/>
                <w:szCs w:val="21"/>
              </w:rPr>
            </w:pPr>
          </w:p>
        </w:tc>
      </w:tr>
      <w:tr w14:paraId="50C7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6BDD2452">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1847F81A">
            <w:pPr>
              <w:adjustRightInd w:val="0"/>
              <w:snapToGrid w:val="0"/>
              <w:spacing w:before="0" w:beforeAutospacing="0" w:after="0" w:afterAutospacing="0"/>
              <w:ind w:left="0" w:right="0"/>
              <w:jc w:val="left"/>
              <w:rPr>
                <w:rFonts w:hint="default"/>
                <w:color w:val="auto"/>
                <w:szCs w:val="21"/>
              </w:rPr>
            </w:pPr>
            <w:r>
              <w:rPr>
                <w:rFonts w:hint="eastAsia"/>
                <w:color w:val="auto"/>
              </w:rPr>
              <w:t>站房内线路整洁及卫生情况</w:t>
            </w:r>
          </w:p>
        </w:tc>
        <w:tc>
          <w:tcPr>
            <w:tcW w:w="1080" w:type="dxa"/>
            <w:vAlign w:val="center"/>
          </w:tcPr>
          <w:p w14:paraId="6562BCCF">
            <w:pPr>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lang w:val="en-US" w:eastAsia="zh-CN"/>
              </w:rPr>
              <w:t>1.5</w:t>
            </w:r>
          </w:p>
        </w:tc>
        <w:tc>
          <w:tcPr>
            <w:tcW w:w="1440" w:type="dxa"/>
            <w:vAlign w:val="center"/>
          </w:tcPr>
          <w:p w14:paraId="5779FC60">
            <w:pPr>
              <w:adjustRightInd w:val="0"/>
              <w:snapToGrid w:val="0"/>
              <w:spacing w:before="0" w:beforeAutospacing="0" w:after="0" w:afterAutospacing="0"/>
              <w:ind w:left="0" w:right="0"/>
              <w:jc w:val="left"/>
              <w:rPr>
                <w:rFonts w:hint="default"/>
                <w:color w:val="auto"/>
                <w:szCs w:val="21"/>
              </w:rPr>
            </w:pPr>
          </w:p>
        </w:tc>
        <w:tc>
          <w:tcPr>
            <w:tcW w:w="720" w:type="dxa"/>
            <w:vAlign w:val="center"/>
          </w:tcPr>
          <w:p w14:paraId="32C8D35E">
            <w:pPr>
              <w:adjustRightInd w:val="0"/>
              <w:snapToGrid w:val="0"/>
              <w:spacing w:before="0" w:beforeAutospacing="0" w:after="0" w:afterAutospacing="0"/>
              <w:ind w:left="0" w:right="0"/>
              <w:jc w:val="left"/>
              <w:rPr>
                <w:rFonts w:hint="default"/>
                <w:color w:val="auto"/>
                <w:szCs w:val="21"/>
              </w:rPr>
            </w:pPr>
          </w:p>
        </w:tc>
      </w:tr>
      <w:tr w14:paraId="4E0B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6AC1E71D">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348D13A1">
            <w:pPr>
              <w:adjustRightInd w:val="0"/>
              <w:snapToGrid w:val="0"/>
              <w:spacing w:before="0" w:beforeAutospacing="0" w:after="0" w:afterAutospacing="0"/>
              <w:ind w:left="0" w:right="0"/>
              <w:jc w:val="left"/>
              <w:rPr>
                <w:rFonts w:hint="default"/>
                <w:color w:val="auto"/>
                <w:szCs w:val="21"/>
              </w:rPr>
            </w:pPr>
            <w:r>
              <w:rPr>
                <w:rFonts w:hint="eastAsia"/>
                <w:color w:val="auto"/>
                <w:kern w:val="0"/>
              </w:rPr>
              <w:t>采样系统清洁程度（采样总管、支管）</w:t>
            </w:r>
          </w:p>
        </w:tc>
        <w:tc>
          <w:tcPr>
            <w:tcW w:w="1080" w:type="dxa"/>
            <w:vAlign w:val="center"/>
          </w:tcPr>
          <w:p w14:paraId="08EE32F1">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2</w:t>
            </w:r>
          </w:p>
        </w:tc>
        <w:tc>
          <w:tcPr>
            <w:tcW w:w="1440" w:type="dxa"/>
            <w:vAlign w:val="center"/>
          </w:tcPr>
          <w:p w14:paraId="52EB6468">
            <w:pPr>
              <w:adjustRightInd w:val="0"/>
              <w:snapToGrid w:val="0"/>
              <w:spacing w:before="0" w:beforeAutospacing="0" w:after="0" w:afterAutospacing="0"/>
              <w:ind w:left="0" w:right="0"/>
              <w:jc w:val="left"/>
              <w:rPr>
                <w:rFonts w:hint="default"/>
                <w:color w:val="auto"/>
                <w:szCs w:val="21"/>
              </w:rPr>
            </w:pPr>
            <w:r>
              <w:rPr>
                <w:rFonts w:hint="eastAsia"/>
                <w:color w:val="auto"/>
              </w:rPr>
              <w:t>有一项不清洁扣</w:t>
            </w:r>
            <w:r>
              <w:rPr>
                <w:rFonts w:hint="eastAsia"/>
                <w:color w:val="auto"/>
                <w:lang w:val="en-US" w:eastAsia="zh-CN"/>
              </w:rPr>
              <w:t>2</w:t>
            </w:r>
            <w:r>
              <w:rPr>
                <w:rFonts w:hint="eastAsia" w:ascii="宋体" w:hAnsi="宋体"/>
                <w:color w:val="auto"/>
              </w:rPr>
              <w:t>分</w:t>
            </w:r>
          </w:p>
        </w:tc>
        <w:tc>
          <w:tcPr>
            <w:tcW w:w="720" w:type="dxa"/>
            <w:vAlign w:val="center"/>
          </w:tcPr>
          <w:p w14:paraId="3C3C8FC2">
            <w:pPr>
              <w:adjustRightInd w:val="0"/>
              <w:snapToGrid w:val="0"/>
              <w:spacing w:before="0" w:beforeAutospacing="0" w:after="0" w:afterAutospacing="0"/>
              <w:ind w:left="0" w:right="0"/>
              <w:jc w:val="left"/>
              <w:rPr>
                <w:rFonts w:hint="default"/>
                <w:color w:val="auto"/>
                <w:szCs w:val="21"/>
              </w:rPr>
            </w:pPr>
          </w:p>
        </w:tc>
      </w:tr>
      <w:tr w14:paraId="23F7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52EBA71D">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5C17E256">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采样风机是否正常工作</w:t>
            </w:r>
          </w:p>
        </w:tc>
        <w:tc>
          <w:tcPr>
            <w:tcW w:w="1080" w:type="dxa"/>
            <w:vAlign w:val="center"/>
          </w:tcPr>
          <w:p w14:paraId="0514BEB4">
            <w:pPr>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kern w:val="0"/>
                <w:lang w:val="en-US" w:eastAsia="zh-CN"/>
              </w:rPr>
              <w:t>1.5</w:t>
            </w:r>
          </w:p>
        </w:tc>
        <w:tc>
          <w:tcPr>
            <w:tcW w:w="1440" w:type="dxa"/>
            <w:vAlign w:val="center"/>
          </w:tcPr>
          <w:p w14:paraId="7544F91D">
            <w:pPr>
              <w:adjustRightInd w:val="0"/>
              <w:snapToGrid w:val="0"/>
              <w:spacing w:before="0" w:beforeAutospacing="0" w:after="0" w:afterAutospacing="0"/>
              <w:ind w:left="0" w:right="0"/>
              <w:jc w:val="left"/>
              <w:rPr>
                <w:rFonts w:hint="default"/>
                <w:color w:val="auto"/>
                <w:szCs w:val="21"/>
              </w:rPr>
            </w:pPr>
          </w:p>
        </w:tc>
        <w:tc>
          <w:tcPr>
            <w:tcW w:w="720" w:type="dxa"/>
            <w:vAlign w:val="center"/>
          </w:tcPr>
          <w:p w14:paraId="24C29A50">
            <w:pPr>
              <w:adjustRightInd w:val="0"/>
              <w:snapToGrid w:val="0"/>
              <w:spacing w:before="0" w:beforeAutospacing="0" w:after="0" w:afterAutospacing="0"/>
              <w:ind w:left="0" w:right="0"/>
              <w:jc w:val="left"/>
              <w:rPr>
                <w:rFonts w:hint="default"/>
                <w:color w:val="auto"/>
                <w:szCs w:val="21"/>
              </w:rPr>
            </w:pPr>
          </w:p>
        </w:tc>
      </w:tr>
      <w:tr w14:paraId="5EBA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4BE5B4A8">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6A741835">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气态污染物采样总管加热温度是否在</w:t>
            </w:r>
            <w:r>
              <w:rPr>
                <w:rFonts w:hint="default"/>
                <w:color w:val="auto"/>
                <w:kern w:val="0"/>
              </w:rPr>
              <w:softHyphen/>
            </w:r>
            <w:r>
              <w:rPr>
                <w:rFonts w:hint="default"/>
                <w:color w:val="auto"/>
                <w:kern w:val="0"/>
              </w:rPr>
              <w:softHyphen/>
            </w:r>
            <w:r>
              <w:rPr>
                <w:rFonts w:hint="default"/>
                <w:color w:val="auto"/>
                <w:kern w:val="0"/>
              </w:rPr>
              <w:t>30</w:t>
            </w:r>
            <w:r>
              <w:rPr>
                <w:rFonts w:hint="eastAsia"/>
                <w:color w:val="auto"/>
                <w:kern w:val="0"/>
              </w:rPr>
              <w:t>～</w:t>
            </w:r>
            <w:r>
              <w:rPr>
                <w:rFonts w:hint="default"/>
                <w:color w:val="auto"/>
                <w:kern w:val="0"/>
              </w:rPr>
              <w:t>50</w:t>
            </w:r>
            <w:r>
              <w:rPr>
                <w:rFonts w:hint="eastAsia"/>
                <w:color w:val="auto"/>
                <w:kern w:val="0"/>
              </w:rPr>
              <w:t>℃，是否避免被空调直吹</w:t>
            </w:r>
          </w:p>
        </w:tc>
        <w:tc>
          <w:tcPr>
            <w:tcW w:w="1080" w:type="dxa"/>
            <w:vAlign w:val="center"/>
          </w:tcPr>
          <w:p w14:paraId="4ADFD53E">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lang w:val="en-US" w:eastAsia="zh-CN"/>
              </w:rPr>
              <w:t>1.5</w:t>
            </w:r>
          </w:p>
        </w:tc>
        <w:tc>
          <w:tcPr>
            <w:tcW w:w="1440" w:type="dxa"/>
            <w:vAlign w:val="center"/>
          </w:tcPr>
          <w:p w14:paraId="0FAADBC5">
            <w:pPr>
              <w:adjustRightInd w:val="0"/>
              <w:snapToGrid w:val="0"/>
              <w:spacing w:before="0" w:beforeAutospacing="0" w:after="0" w:afterAutospacing="0"/>
              <w:ind w:left="0" w:right="0"/>
              <w:jc w:val="left"/>
              <w:rPr>
                <w:rFonts w:hint="default"/>
                <w:color w:val="auto"/>
                <w:szCs w:val="21"/>
              </w:rPr>
            </w:pPr>
          </w:p>
        </w:tc>
        <w:tc>
          <w:tcPr>
            <w:tcW w:w="720" w:type="dxa"/>
            <w:vAlign w:val="center"/>
          </w:tcPr>
          <w:p w14:paraId="163D18D9">
            <w:pPr>
              <w:adjustRightInd w:val="0"/>
              <w:snapToGrid w:val="0"/>
              <w:spacing w:before="0" w:beforeAutospacing="0" w:after="0" w:afterAutospacing="0"/>
              <w:ind w:left="0" w:right="0"/>
              <w:jc w:val="left"/>
              <w:rPr>
                <w:rFonts w:hint="default"/>
                <w:color w:val="auto"/>
                <w:szCs w:val="21"/>
              </w:rPr>
            </w:pPr>
          </w:p>
        </w:tc>
      </w:tr>
      <w:tr w14:paraId="6B01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290CA536">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0F0BAE50">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各通道参数（斜率、截距、量程等）的设置是否正确</w:t>
            </w:r>
          </w:p>
        </w:tc>
        <w:tc>
          <w:tcPr>
            <w:tcW w:w="1080" w:type="dxa"/>
            <w:vAlign w:val="center"/>
          </w:tcPr>
          <w:p w14:paraId="3989D179">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szCs w:val="21"/>
                <w:lang w:val="en-US" w:eastAsia="zh-CN"/>
              </w:rPr>
              <w:t>2</w:t>
            </w:r>
          </w:p>
        </w:tc>
        <w:tc>
          <w:tcPr>
            <w:tcW w:w="1440" w:type="dxa"/>
            <w:vAlign w:val="center"/>
          </w:tcPr>
          <w:p w14:paraId="4C4FC122">
            <w:pPr>
              <w:adjustRightInd w:val="0"/>
              <w:snapToGrid w:val="0"/>
              <w:spacing w:before="0" w:beforeAutospacing="0" w:after="0" w:afterAutospacing="0"/>
              <w:ind w:left="0" w:right="0"/>
              <w:jc w:val="left"/>
              <w:rPr>
                <w:rFonts w:hint="default"/>
                <w:color w:val="auto"/>
                <w:szCs w:val="21"/>
              </w:rPr>
            </w:pPr>
            <w:r>
              <w:rPr>
                <w:rFonts w:hint="eastAsia"/>
                <w:color w:val="auto"/>
              </w:rPr>
              <w:t>有一项设置不正确扣</w:t>
            </w:r>
            <w:r>
              <w:rPr>
                <w:rFonts w:hint="eastAsia"/>
                <w:color w:val="auto"/>
                <w:lang w:val="en-US" w:eastAsia="zh-CN"/>
              </w:rPr>
              <w:t>2</w:t>
            </w:r>
            <w:r>
              <w:rPr>
                <w:rFonts w:hint="eastAsia" w:ascii="宋体" w:hAnsi="宋体"/>
                <w:color w:val="auto"/>
              </w:rPr>
              <w:t>分</w:t>
            </w:r>
          </w:p>
        </w:tc>
        <w:tc>
          <w:tcPr>
            <w:tcW w:w="720" w:type="dxa"/>
            <w:vAlign w:val="center"/>
          </w:tcPr>
          <w:p w14:paraId="46B2718B">
            <w:pPr>
              <w:adjustRightInd w:val="0"/>
              <w:snapToGrid w:val="0"/>
              <w:spacing w:before="0" w:beforeAutospacing="0" w:after="0" w:afterAutospacing="0"/>
              <w:ind w:left="0" w:right="0"/>
              <w:jc w:val="left"/>
              <w:rPr>
                <w:rFonts w:hint="default"/>
                <w:color w:val="auto"/>
                <w:szCs w:val="21"/>
              </w:rPr>
            </w:pPr>
          </w:p>
        </w:tc>
      </w:tr>
      <w:tr w14:paraId="5D62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14:paraId="55709BBF">
            <w:pPr>
              <w:adjustRightInd w:val="0"/>
              <w:snapToGrid w:val="0"/>
              <w:spacing w:before="0" w:beforeAutospacing="0" w:after="0" w:afterAutospacing="0"/>
              <w:ind w:left="0" w:right="0"/>
              <w:jc w:val="center"/>
              <w:rPr>
                <w:rFonts w:hint="default"/>
                <w:b/>
                <w:bCs/>
                <w:color w:val="auto"/>
                <w:szCs w:val="21"/>
              </w:rPr>
            </w:pPr>
            <w:r>
              <w:rPr>
                <w:rFonts w:hint="default"/>
                <w:b/>
                <w:bCs/>
                <w:color w:val="auto"/>
              </w:rPr>
              <w:t>2.</w:t>
            </w:r>
            <w:r>
              <w:rPr>
                <w:rFonts w:hint="eastAsia"/>
                <w:b/>
                <w:bCs/>
                <w:color w:val="auto"/>
              </w:rPr>
              <w:t>仪器性能测试</w:t>
            </w:r>
          </w:p>
          <w:p w14:paraId="32412FC7">
            <w:pPr>
              <w:adjustRightInd w:val="0"/>
              <w:snapToGrid w:val="0"/>
              <w:spacing w:before="0" w:beforeAutospacing="0" w:after="0" w:afterAutospacing="0"/>
              <w:ind w:left="0" w:right="0"/>
              <w:jc w:val="center"/>
              <w:rPr>
                <w:rFonts w:hint="default"/>
                <w:b/>
                <w:bCs/>
                <w:color w:val="auto"/>
                <w:szCs w:val="21"/>
              </w:rPr>
            </w:pPr>
            <w:r>
              <w:rPr>
                <w:rFonts w:hint="eastAsia"/>
                <w:b/>
                <w:bCs/>
                <w:color w:val="auto"/>
              </w:rPr>
              <w:t>（</w:t>
            </w:r>
            <w:r>
              <w:rPr>
                <w:rFonts w:hint="eastAsia"/>
                <w:b/>
                <w:bCs/>
                <w:color w:val="auto"/>
                <w:lang w:val="en-US" w:eastAsia="zh-CN"/>
              </w:rPr>
              <w:t>22</w:t>
            </w:r>
            <w:r>
              <w:rPr>
                <w:rFonts w:hint="eastAsia"/>
                <w:b/>
                <w:bCs/>
                <w:color w:val="auto"/>
              </w:rPr>
              <w:t>分）</w:t>
            </w:r>
          </w:p>
        </w:tc>
        <w:tc>
          <w:tcPr>
            <w:tcW w:w="5400" w:type="dxa"/>
            <w:gridSpan w:val="2"/>
            <w:vAlign w:val="center"/>
          </w:tcPr>
          <w:p w14:paraId="060C228E">
            <w:pPr>
              <w:adjustRightInd w:val="0"/>
              <w:snapToGrid w:val="0"/>
              <w:spacing w:before="0" w:beforeAutospacing="0" w:after="0" w:afterAutospacing="0"/>
              <w:ind w:left="0" w:right="0"/>
              <w:jc w:val="left"/>
              <w:rPr>
                <w:rFonts w:hint="default"/>
                <w:color w:val="auto"/>
                <w:kern w:val="0"/>
                <w:szCs w:val="21"/>
              </w:rPr>
            </w:pPr>
            <w:r>
              <w:rPr>
                <w:rFonts w:hint="eastAsia"/>
                <w:color w:val="auto"/>
              </w:rPr>
              <w:t>仪器是否出现除停电重启外的其他报警信息</w:t>
            </w:r>
          </w:p>
        </w:tc>
        <w:tc>
          <w:tcPr>
            <w:tcW w:w="1080" w:type="dxa"/>
            <w:vAlign w:val="center"/>
          </w:tcPr>
          <w:p w14:paraId="020C1138">
            <w:pPr>
              <w:adjustRightInd w:val="0"/>
              <w:snapToGrid w:val="0"/>
              <w:spacing w:before="0" w:beforeAutospacing="0" w:after="0" w:afterAutospacing="0"/>
              <w:ind w:left="0" w:right="0"/>
              <w:jc w:val="center"/>
              <w:rPr>
                <w:rFonts w:hint="eastAsia" w:eastAsia="宋体"/>
                <w:color w:val="auto"/>
                <w:szCs w:val="21"/>
                <w:lang w:eastAsia="zh-CN"/>
              </w:rPr>
            </w:pPr>
            <w:r>
              <w:rPr>
                <w:rFonts w:hint="eastAsia"/>
                <w:color w:val="auto"/>
                <w:lang w:val="en-US" w:eastAsia="zh-CN"/>
              </w:rPr>
              <w:t>2</w:t>
            </w:r>
          </w:p>
        </w:tc>
        <w:tc>
          <w:tcPr>
            <w:tcW w:w="1440" w:type="dxa"/>
            <w:vAlign w:val="center"/>
          </w:tcPr>
          <w:p w14:paraId="3FFEBCB5">
            <w:pPr>
              <w:adjustRightInd w:val="0"/>
              <w:snapToGrid w:val="0"/>
              <w:spacing w:before="0" w:beforeAutospacing="0" w:after="0" w:afterAutospacing="0"/>
              <w:ind w:left="0" w:right="0"/>
              <w:jc w:val="left"/>
              <w:rPr>
                <w:rFonts w:hint="default"/>
                <w:color w:val="auto"/>
                <w:szCs w:val="21"/>
              </w:rPr>
            </w:pPr>
          </w:p>
        </w:tc>
        <w:tc>
          <w:tcPr>
            <w:tcW w:w="720" w:type="dxa"/>
            <w:vAlign w:val="center"/>
          </w:tcPr>
          <w:p w14:paraId="6631339F">
            <w:pPr>
              <w:adjustRightInd w:val="0"/>
              <w:snapToGrid w:val="0"/>
              <w:spacing w:before="0" w:beforeAutospacing="0" w:after="0" w:afterAutospacing="0"/>
              <w:ind w:left="0" w:right="0"/>
              <w:jc w:val="left"/>
              <w:rPr>
                <w:rFonts w:hint="default"/>
                <w:color w:val="auto"/>
                <w:szCs w:val="21"/>
              </w:rPr>
            </w:pPr>
          </w:p>
        </w:tc>
      </w:tr>
      <w:tr w14:paraId="2594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6E238EF4">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2EFD0B7B">
            <w:pPr>
              <w:adjustRightInd w:val="0"/>
              <w:snapToGrid w:val="0"/>
              <w:spacing w:before="0" w:beforeAutospacing="0" w:after="0" w:afterAutospacing="0"/>
              <w:ind w:left="0" w:right="0"/>
              <w:jc w:val="left"/>
              <w:rPr>
                <w:rFonts w:hint="default"/>
                <w:color w:val="auto"/>
                <w:szCs w:val="21"/>
              </w:rPr>
            </w:pPr>
            <w:r>
              <w:rPr>
                <w:rFonts w:hint="eastAsia"/>
                <w:color w:val="auto"/>
              </w:rPr>
              <w:t>更换的备品备件是否是原厂</w:t>
            </w:r>
          </w:p>
        </w:tc>
        <w:tc>
          <w:tcPr>
            <w:tcW w:w="1080" w:type="dxa"/>
            <w:vAlign w:val="center"/>
          </w:tcPr>
          <w:p w14:paraId="6E2DD73F">
            <w:pPr>
              <w:adjustRightInd w:val="0"/>
              <w:snapToGrid w:val="0"/>
              <w:spacing w:before="0" w:beforeAutospacing="0" w:after="0" w:afterAutospacing="0"/>
              <w:ind w:left="0" w:right="0"/>
              <w:jc w:val="center"/>
              <w:rPr>
                <w:rFonts w:hint="default" w:eastAsia="宋体"/>
                <w:color w:val="auto"/>
                <w:szCs w:val="21"/>
                <w:lang w:val="en-US" w:eastAsia="zh-CN"/>
              </w:rPr>
            </w:pPr>
            <w:r>
              <w:rPr>
                <w:rFonts w:hint="eastAsia"/>
                <w:color w:val="auto"/>
                <w:szCs w:val="21"/>
                <w:lang w:val="en-US" w:eastAsia="zh-CN"/>
              </w:rPr>
              <w:t>2</w:t>
            </w:r>
          </w:p>
        </w:tc>
        <w:tc>
          <w:tcPr>
            <w:tcW w:w="1440" w:type="dxa"/>
            <w:vAlign w:val="center"/>
          </w:tcPr>
          <w:p w14:paraId="0EC88DD4">
            <w:pPr>
              <w:adjustRightInd w:val="0"/>
              <w:snapToGrid w:val="0"/>
              <w:spacing w:before="0" w:beforeAutospacing="0" w:after="0" w:afterAutospacing="0"/>
              <w:ind w:left="0" w:right="0"/>
              <w:jc w:val="left"/>
              <w:rPr>
                <w:rFonts w:hint="default"/>
                <w:color w:val="auto"/>
                <w:szCs w:val="21"/>
              </w:rPr>
            </w:pPr>
          </w:p>
        </w:tc>
        <w:tc>
          <w:tcPr>
            <w:tcW w:w="720" w:type="dxa"/>
            <w:vAlign w:val="center"/>
          </w:tcPr>
          <w:p w14:paraId="7474376C">
            <w:pPr>
              <w:adjustRightInd w:val="0"/>
              <w:snapToGrid w:val="0"/>
              <w:spacing w:before="0" w:beforeAutospacing="0" w:after="0" w:afterAutospacing="0"/>
              <w:ind w:left="0" w:right="0"/>
              <w:jc w:val="left"/>
              <w:rPr>
                <w:rFonts w:hint="default"/>
                <w:color w:val="auto"/>
                <w:szCs w:val="21"/>
              </w:rPr>
            </w:pPr>
          </w:p>
        </w:tc>
      </w:tr>
      <w:tr w14:paraId="5E43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33E2D2E8">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6B5620D8">
            <w:pPr>
              <w:adjustRightInd w:val="0"/>
              <w:snapToGrid w:val="0"/>
              <w:spacing w:before="0" w:beforeAutospacing="0" w:after="0" w:afterAutospacing="0"/>
              <w:ind w:left="0" w:right="0"/>
              <w:jc w:val="left"/>
              <w:rPr>
                <w:rFonts w:hint="default"/>
                <w:color w:val="auto"/>
                <w:kern w:val="0"/>
              </w:rPr>
            </w:pPr>
            <w:r>
              <w:rPr>
                <w:rFonts w:hint="eastAsia"/>
                <w:color w:val="auto"/>
                <w:kern w:val="0"/>
              </w:rPr>
              <w:t>动态校准仪质量流量控制器（</w:t>
            </w:r>
            <w:r>
              <w:rPr>
                <w:rFonts w:hint="default"/>
                <w:color w:val="auto"/>
                <w:kern w:val="0"/>
              </w:rPr>
              <w:t>MFC</w:t>
            </w:r>
            <w:r>
              <w:rPr>
                <w:rFonts w:hint="eastAsia"/>
                <w:color w:val="auto"/>
                <w:kern w:val="0"/>
              </w:rPr>
              <w:t>）单点流量测试：</w:t>
            </w:r>
          </w:p>
          <w:p w14:paraId="7FD37B80">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标准温度：</w:t>
            </w:r>
            <w:r>
              <w:rPr>
                <w:rFonts w:hint="default"/>
                <w:color w:val="auto"/>
                <w:kern w:val="0"/>
              </w:rPr>
              <w:t>________</w:t>
            </w:r>
            <w:r>
              <w:rPr>
                <w:rFonts w:hint="eastAsia"/>
                <w:color w:val="auto"/>
                <w:kern w:val="0"/>
              </w:rPr>
              <w:t>标准气压</w:t>
            </w:r>
            <w:r>
              <w:rPr>
                <w:rFonts w:hint="default"/>
                <w:color w:val="auto"/>
                <w:kern w:val="0"/>
              </w:rPr>
              <w:t>__________</w:t>
            </w:r>
          </w:p>
          <w:p w14:paraId="2A2CD375">
            <w:pPr>
              <w:adjustRightInd w:val="0"/>
              <w:snapToGrid w:val="0"/>
              <w:spacing w:before="0" w:beforeAutospacing="0" w:after="0" w:afterAutospacing="0"/>
              <w:ind w:left="0" w:right="0"/>
              <w:jc w:val="left"/>
              <w:rPr>
                <w:rFonts w:hint="default"/>
                <w:color w:val="auto"/>
                <w:kern w:val="0"/>
                <w:u w:val="single"/>
              </w:rPr>
            </w:pPr>
            <w:r>
              <w:rPr>
                <w:rFonts w:hint="eastAsia"/>
                <w:color w:val="auto"/>
                <w:kern w:val="0"/>
              </w:rPr>
              <w:t>零气</w:t>
            </w:r>
            <w:r>
              <w:rPr>
                <w:rFonts w:hint="default"/>
                <w:color w:val="auto"/>
                <w:kern w:val="0"/>
              </w:rPr>
              <w:t>MFC</w:t>
            </w:r>
            <w:r>
              <w:rPr>
                <w:rFonts w:hint="eastAsia"/>
                <w:color w:val="auto"/>
                <w:kern w:val="0"/>
              </w:rPr>
              <w:t>流量：</w:t>
            </w:r>
            <w:r>
              <w:rPr>
                <w:rFonts w:hint="default"/>
                <w:color w:val="auto"/>
                <w:kern w:val="0"/>
                <w:u w:val="single"/>
              </w:rPr>
              <w:t xml:space="preserve">    </w:t>
            </w:r>
            <w:r>
              <w:rPr>
                <w:rFonts w:hint="default"/>
                <w:color w:val="auto"/>
                <w:kern w:val="0"/>
              </w:rPr>
              <w:t>L/min,</w:t>
            </w:r>
            <w:r>
              <w:rPr>
                <w:rFonts w:hint="eastAsia"/>
                <w:color w:val="auto"/>
                <w:kern w:val="0"/>
              </w:rPr>
              <w:t>标准流量计测值：</w:t>
            </w:r>
            <w:r>
              <w:rPr>
                <w:rFonts w:hint="default"/>
                <w:color w:val="auto"/>
                <w:kern w:val="0"/>
                <w:u w:val="single"/>
              </w:rPr>
              <w:t xml:space="preserve">       </w:t>
            </w:r>
            <w:r>
              <w:rPr>
                <w:rFonts w:hint="default"/>
                <w:color w:val="auto"/>
                <w:kern w:val="0"/>
              </w:rPr>
              <w:t>L/min</w:t>
            </w:r>
            <w:r>
              <w:rPr>
                <w:rFonts w:hint="eastAsia"/>
                <w:color w:val="auto"/>
                <w:kern w:val="0"/>
              </w:rPr>
              <w:t>，相对误差</w:t>
            </w:r>
            <w:r>
              <w:rPr>
                <w:rFonts w:hint="default"/>
                <w:color w:val="auto"/>
                <w:kern w:val="0"/>
                <w:u w:val="single"/>
              </w:rPr>
              <w:t xml:space="preserve">    %</w:t>
            </w:r>
            <w:r>
              <w:rPr>
                <w:rFonts w:hint="eastAsia"/>
                <w:color w:val="auto"/>
                <w:kern w:val="0"/>
              </w:rPr>
              <w:t>（≤±2%）</w:t>
            </w:r>
          </w:p>
          <w:p w14:paraId="6CA2499E">
            <w:pPr>
              <w:adjustRightInd w:val="0"/>
              <w:snapToGrid w:val="0"/>
              <w:spacing w:before="0" w:beforeAutospacing="0" w:after="0" w:afterAutospacing="0"/>
              <w:ind w:left="0" w:right="0"/>
              <w:jc w:val="left"/>
              <w:rPr>
                <w:rFonts w:hint="default"/>
                <w:color w:val="auto"/>
                <w:kern w:val="0"/>
                <w:szCs w:val="21"/>
                <w:u w:val="single"/>
              </w:rPr>
            </w:pPr>
            <w:r>
              <w:rPr>
                <w:rFonts w:hint="eastAsia"/>
                <w:color w:val="auto"/>
                <w:kern w:val="0"/>
              </w:rPr>
              <w:t>标气</w:t>
            </w:r>
            <w:r>
              <w:rPr>
                <w:rFonts w:hint="default"/>
                <w:color w:val="auto"/>
                <w:kern w:val="0"/>
              </w:rPr>
              <w:t>MFC</w:t>
            </w:r>
            <w:r>
              <w:rPr>
                <w:rFonts w:hint="eastAsia"/>
                <w:color w:val="auto"/>
                <w:kern w:val="0"/>
              </w:rPr>
              <w:t>流量：</w:t>
            </w:r>
            <w:r>
              <w:rPr>
                <w:rFonts w:hint="default"/>
                <w:color w:val="auto"/>
                <w:kern w:val="0"/>
                <w:u w:val="single"/>
              </w:rPr>
              <w:t xml:space="preserve">    </w:t>
            </w:r>
            <w:r>
              <w:rPr>
                <w:rFonts w:hint="default"/>
                <w:color w:val="auto"/>
                <w:kern w:val="0"/>
              </w:rPr>
              <w:t>mL/min,</w:t>
            </w:r>
            <w:r>
              <w:rPr>
                <w:rFonts w:hint="eastAsia"/>
                <w:color w:val="auto"/>
                <w:kern w:val="0"/>
              </w:rPr>
              <w:t>标准流量计测值：</w:t>
            </w:r>
            <w:r>
              <w:rPr>
                <w:rFonts w:hint="default"/>
                <w:color w:val="auto"/>
                <w:kern w:val="0"/>
                <w:u w:val="single"/>
              </w:rPr>
              <w:t xml:space="preserve">      </w:t>
            </w:r>
            <w:r>
              <w:rPr>
                <w:rFonts w:hint="default"/>
                <w:color w:val="auto"/>
                <w:kern w:val="0"/>
              </w:rPr>
              <w:t>mL/min</w:t>
            </w:r>
            <w:r>
              <w:rPr>
                <w:rFonts w:hint="eastAsia"/>
                <w:color w:val="auto"/>
                <w:kern w:val="0"/>
              </w:rPr>
              <w:t>，相对误差</w:t>
            </w:r>
            <w:r>
              <w:rPr>
                <w:rFonts w:hint="default"/>
                <w:color w:val="auto"/>
                <w:kern w:val="0"/>
                <w:u w:val="single"/>
              </w:rPr>
              <w:t xml:space="preserve">    %</w:t>
            </w:r>
            <w:r>
              <w:rPr>
                <w:rFonts w:hint="eastAsia"/>
                <w:color w:val="auto"/>
                <w:kern w:val="0"/>
              </w:rPr>
              <w:t>（≤±2%）</w:t>
            </w:r>
          </w:p>
        </w:tc>
        <w:tc>
          <w:tcPr>
            <w:tcW w:w="1080" w:type="dxa"/>
            <w:vAlign w:val="center"/>
          </w:tcPr>
          <w:p w14:paraId="76F9A1C5">
            <w:pPr>
              <w:adjustRightInd w:val="0"/>
              <w:snapToGrid w:val="0"/>
              <w:spacing w:before="0" w:beforeAutospacing="0" w:after="0" w:afterAutospacing="0"/>
              <w:ind w:left="0" w:right="0"/>
              <w:jc w:val="center"/>
              <w:rPr>
                <w:rFonts w:hint="eastAsia" w:eastAsia="宋体"/>
                <w:color w:val="auto"/>
                <w:szCs w:val="21"/>
                <w:lang w:val="en-US" w:eastAsia="zh-CN"/>
              </w:rPr>
            </w:pPr>
            <w:r>
              <w:rPr>
                <w:rFonts w:hint="eastAsia"/>
                <w:color w:val="auto"/>
                <w:szCs w:val="21"/>
                <w:lang w:val="en-US" w:eastAsia="zh-CN"/>
              </w:rPr>
              <w:t>5</w:t>
            </w:r>
          </w:p>
        </w:tc>
        <w:tc>
          <w:tcPr>
            <w:tcW w:w="1440" w:type="dxa"/>
            <w:vAlign w:val="center"/>
          </w:tcPr>
          <w:p w14:paraId="172742B0">
            <w:pPr>
              <w:snapToGrid w:val="0"/>
              <w:spacing w:before="0" w:beforeAutospacing="0" w:after="0" w:afterAutospacing="0"/>
              <w:ind w:left="0" w:right="0"/>
              <w:rPr>
                <w:rFonts w:hint="default"/>
                <w:color w:val="auto"/>
                <w:szCs w:val="21"/>
              </w:rPr>
            </w:pPr>
            <w:r>
              <w:rPr>
                <w:rFonts w:hint="eastAsia"/>
                <w:color w:val="auto"/>
              </w:rPr>
              <w:t>一项不满足扣</w:t>
            </w:r>
            <w:r>
              <w:rPr>
                <w:rFonts w:hint="default"/>
                <w:color w:val="auto"/>
              </w:rPr>
              <w:t>2</w:t>
            </w:r>
            <w:r>
              <w:rPr>
                <w:rFonts w:hint="eastAsia"/>
                <w:color w:val="auto"/>
              </w:rPr>
              <w:t>分</w:t>
            </w:r>
          </w:p>
        </w:tc>
        <w:tc>
          <w:tcPr>
            <w:tcW w:w="720" w:type="dxa"/>
            <w:vAlign w:val="center"/>
          </w:tcPr>
          <w:p w14:paraId="49E6B384">
            <w:pPr>
              <w:adjustRightInd w:val="0"/>
              <w:snapToGrid w:val="0"/>
              <w:spacing w:before="0" w:beforeAutospacing="0" w:after="0" w:afterAutospacing="0"/>
              <w:ind w:left="0" w:right="0"/>
              <w:jc w:val="center"/>
              <w:rPr>
                <w:rFonts w:hint="default"/>
                <w:color w:val="auto"/>
                <w:szCs w:val="21"/>
              </w:rPr>
            </w:pPr>
          </w:p>
        </w:tc>
      </w:tr>
      <w:tr w14:paraId="19BF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7795ECFE">
            <w:pPr>
              <w:widowControl/>
              <w:spacing w:before="0" w:beforeAutospacing="0" w:after="0" w:afterAutospacing="0"/>
              <w:ind w:left="0" w:right="0"/>
              <w:jc w:val="left"/>
              <w:rPr>
                <w:rFonts w:hint="default"/>
                <w:b/>
                <w:bCs/>
                <w:color w:val="auto"/>
                <w:szCs w:val="21"/>
              </w:rPr>
            </w:pPr>
          </w:p>
        </w:tc>
        <w:tc>
          <w:tcPr>
            <w:tcW w:w="5400" w:type="dxa"/>
            <w:gridSpan w:val="2"/>
            <w:vAlign w:val="center"/>
          </w:tcPr>
          <w:p w14:paraId="36282A33">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非甲烷总烃仪器</w:t>
            </w:r>
            <w:r>
              <w:rPr>
                <w:rFonts w:hint="default"/>
                <w:color w:val="auto"/>
                <w:kern w:val="0"/>
              </w:rPr>
              <w:t>采样流量测试：</w:t>
            </w:r>
          </w:p>
          <w:p w14:paraId="1D715ABF">
            <w:pPr>
              <w:adjustRightInd w:val="0"/>
              <w:snapToGrid w:val="0"/>
              <w:spacing w:before="0" w:beforeAutospacing="0" w:after="0" w:afterAutospacing="0"/>
              <w:ind w:left="0" w:right="0"/>
              <w:jc w:val="left"/>
              <w:rPr>
                <w:rFonts w:hint="default"/>
                <w:color w:val="auto"/>
                <w:kern w:val="0"/>
                <w:u w:val="single"/>
              </w:rPr>
            </w:pPr>
            <w:r>
              <w:rPr>
                <w:rFonts w:hint="default"/>
                <w:color w:val="auto"/>
                <w:kern w:val="0"/>
              </w:rPr>
              <w:t>显示流量：</w:t>
            </w:r>
            <w:r>
              <w:rPr>
                <w:rFonts w:hint="default"/>
                <w:color w:val="auto"/>
                <w:kern w:val="0"/>
                <w:u w:val="single"/>
              </w:rPr>
              <w:t xml:space="preserve">      </w:t>
            </w:r>
            <w:r>
              <w:rPr>
                <w:rFonts w:hint="default"/>
                <w:color w:val="auto"/>
                <w:kern w:val="0"/>
              </w:rPr>
              <w:t>L/min，流量计测值：</w:t>
            </w:r>
            <w:r>
              <w:rPr>
                <w:rFonts w:hint="default"/>
                <w:color w:val="auto"/>
                <w:kern w:val="0"/>
                <w:u w:val="single"/>
              </w:rPr>
              <w:t xml:space="preserve">      </w:t>
            </w:r>
            <w:r>
              <w:rPr>
                <w:rFonts w:hint="default"/>
                <w:color w:val="auto"/>
                <w:kern w:val="0"/>
              </w:rPr>
              <w:t>L/min，相对误差</w:t>
            </w:r>
            <w:r>
              <w:rPr>
                <w:rFonts w:hint="default"/>
                <w:color w:val="auto"/>
                <w:kern w:val="0"/>
                <w:u w:val="single"/>
              </w:rPr>
              <w:t xml:space="preserve">       </w:t>
            </w:r>
            <w:r>
              <w:rPr>
                <w:rFonts w:hint="default"/>
                <w:color w:val="auto"/>
                <w:kern w:val="0"/>
              </w:rPr>
              <w:t>%（≤±10%）</w:t>
            </w:r>
          </w:p>
        </w:tc>
        <w:tc>
          <w:tcPr>
            <w:tcW w:w="1080" w:type="dxa"/>
            <w:vAlign w:val="center"/>
          </w:tcPr>
          <w:p w14:paraId="1A145020">
            <w:pPr>
              <w:adjustRightInd w:val="0"/>
              <w:snapToGrid w:val="0"/>
              <w:spacing w:before="0" w:beforeAutospacing="0" w:after="0" w:afterAutospacing="0"/>
              <w:ind w:left="0" w:right="0"/>
              <w:jc w:val="center"/>
              <w:rPr>
                <w:rFonts w:hint="default"/>
                <w:color w:val="auto"/>
              </w:rPr>
            </w:pPr>
            <w:r>
              <w:rPr>
                <w:rFonts w:hint="default"/>
                <w:color w:val="auto"/>
              </w:rPr>
              <w:t>4</w:t>
            </w:r>
          </w:p>
        </w:tc>
        <w:tc>
          <w:tcPr>
            <w:tcW w:w="1440" w:type="dxa"/>
            <w:vAlign w:val="center"/>
          </w:tcPr>
          <w:p w14:paraId="7F294C96">
            <w:pPr>
              <w:snapToGrid w:val="0"/>
              <w:spacing w:before="0" w:beforeAutospacing="0" w:after="0" w:afterAutospacing="0"/>
              <w:ind w:left="0" w:right="0"/>
              <w:rPr>
                <w:rFonts w:hint="default"/>
                <w:color w:val="auto"/>
              </w:rPr>
            </w:pPr>
          </w:p>
        </w:tc>
        <w:tc>
          <w:tcPr>
            <w:tcW w:w="720" w:type="dxa"/>
            <w:vAlign w:val="center"/>
          </w:tcPr>
          <w:p w14:paraId="4D564480">
            <w:pPr>
              <w:adjustRightInd w:val="0"/>
              <w:snapToGrid w:val="0"/>
              <w:spacing w:before="0" w:beforeAutospacing="0" w:after="0" w:afterAutospacing="0"/>
              <w:ind w:left="0" w:right="0"/>
              <w:jc w:val="center"/>
              <w:rPr>
                <w:rFonts w:hint="default"/>
                <w:color w:val="auto"/>
                <w:szCs w:val="21"/>
              </w:rPr>
            </w:pPr>
          </w:p>
        </w:tc>
      </w:tr>
      <w:tr w14:paraId="28D5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80" w:type="dxa"/>
            <w:vMerge w:val="continue"/>
            <w:vAlign w:val="center"/>
          </w:tcPr>
          <w:p w14:paraId="036EEEF1">
            <w:pPr>
              <w:widowControl/>
              <w:spacing w:before="0" w:beforeAutospacing="0" w:after="0" w:afterAutospacing="0"/>
              <w:ind w:left="0" w:right="0"/>
              <w:jc w:val="left"/>
              <w:rPr>
                <w:rFonts w:hint="default"/>
                <w:b/>
                <w:bCs/>
                <w:color w:val="auto"/>
                <w:szCs w:val="21"/>
              </w:rPr>
            </w:pPr>
          </w:p>
        </w:tc>
        <w:tc>
          <w:tcPr>
            <w:tcW w:w="758" w:type="dxa"/>
            <w:vMerge w:val="restart"/>
            <w:vAlign w:val="center"/>
          </w:tcPr>
          <w:p w14:paraId="08D89B12">
            <w:pPr>
              <w:adjustRightInd w:val="0"/>
              <w:snapToGrid w:val="0"/>
              <w:spacing w:before="0" w:beforeAutospacing="0" w:after="0" w:afterAutospacing="0"/>
              <w:ind w:left="0" w:right="0"/>
              <w:jc w:val="left"/>
              <w:rPr>
                <w:rFonts w:hint="default"/>
                <w:color w:val="auto"/>
                <w:kern w:val="0"/>
              </w:rPr>
            </w:pPr>
            <w:r>
              <w:rPr>
                <w:rFonts w:hint="eastAsia"/>
                <w:color w:val="auto"/>
                <w:kern w:val="0"/>
              </w:rPr>
              <w:t>非甲烷总烃仪器</w:t>
            </w:r>
            <w:r>
              <w:rPr>
                <w:rFonts w:hint="default"/>
                <w:color w:val="auto"/>
                <w:kern w:val="0"/>
              </w:rPr>
              <w:t>测试</w:t>
            </w:r>
          </w:p>
          <w:p w14:paraId="36315809">
            <w:pPr>
              <w:adjustRightInd w:val="0"/>
              <w:snapToGrid w:val="0"/>
              <w:spacing w:before="0" w:beforeAutospacing="0" w:after="0" w:afterAutospacing="0"/>
              <w:ind w:left="0" w:right="0" w:firstLine="1100" w:firstLineChars="500"/>
              <w:jc w:val="left"/>
              <w:rPr>
                <w:rFonts w:hint="default"/>
                <w:color w:val="auto"/>
                <w:kern w:val="0"/>
              </w:rPr>
            </w:pPr>
          </w:p>
        </w:tc>
        <w:tc>
          <w:tcPr>
            <w:tcW w:w="4642" w:type="dxa"/>
            <w:vAlign w:val="center"/>
          </w:tcPr>
          <w:p w14:paraId="1ACB1A53">
            <w:pPr>
              <w:adjustRightInd w:val="0"/>
              <w:snapToGrid w:val="0"/>
              <w:spacing w:before="0" w:beforeAutospacing="0" w:after="0" w:afterAutospacing="0"/>
              <w:ind w:left="0" w:right="0"/>
              <w:jc w:val="left"/>
              <w:rPr>
                <w:rFonts w:hint="default"/>
                <w:color w:val="auto"/>
                <w:kern w:val="0"/>
              </w:rPr>
            </w:pPr>
            <w:r>
              <w:rPr>
                <w:rFonts w:hint="eastAsia"/>
                <w:color w:val="auto"/>
                <w:kern w:val="0"/>
              </w:rPr>
              <w:t>空白测试：</w:t>
            </w:r>
          </w:p>
          <w:p w14:paraId="70C3C4CF">
            <w:pPr>
              <w:adjustRightInd w:val="0"/>
              <w:snapToGrid w:val="0"/>
              <w:spacing w:before="0" w:beforeAutospacing="0" w:after="0" w:afterAutospacing="0"/>
              <w:ind w:left="0" w:right="0"/>
              <w:jc w:val="left"/>
              <w:rPr>
                <w:rFonts w:hint="default"/>
                <w:color w:val="auto"/>
                <w:kern w:val="0"/>
              </w:rPr>
            </w:pPr>
            <w:r>
              <w:rPr>
                <w:rFonts w:hint="eastAsia"/>
                <w:color w:val="auto"/>
                <w:kern w:val="0"/>
              </w:rPr>
              <w:t>甲烷：</w:t>
            </w:r>
            <w:r>
              <w:rPr>
                <w:rFonts w:hint="default"/>
                <w:color w:val="auto"/>
                <w:kern w:val="0"/>
                <w:u w:val="single"/>
              </w:rPr>
              <w:t xml:space="preserve">       </w:t>
            </w:r>
            <w:r>
              <w:rPr>
                <w:rFonts w:hint="default"/>
                <w:color w:val="auto"/>
                <w:kern w:val="0"/>
              </w:rPr>
              <w:t>ppb</w:t>
            </w:r>
            <w:r>
              <w:rPr>
                <w:rFonts w:hint="eastAsia"/>
                <w:color w:val="auto"/>
                <w:kern w:val="0"/>
              </w:rPr>
              <w:t>（≤100ppb）</w:t>
            </w:r>
          </w:p>
          <w:p w14:paraId="51E730A9">
            <w:pPr>
              <w:adjustRightInd w:val="0"/>
              <w:snapToGrid w:val="0"/>
              <w:spacing w:before="0" w:beforeAutospacing="0" w:after="0" w:afterAutospacing="0"/>
              <w:ind w:left="0" w:right="0"/>
              <w:jc w:val="left"/>
              <w:rPr>
                <w:rFonts w:hint="default"/>
                <w:color w:val="auto"/>
                <w:kern w:val="0"/>
              </w:rPr>
            </w:pPr>
            <w:r>
              <w:rPr>
                <w:rFonts w:hint="eastAsia"/>
                <w:color w:val="auto"/>
                <w:kern w:val="0"/>
              </w:rPr>
              <w:t>非甲烷总烃：</w:t>
            </w:r>
            <w:r>
              <w:rPr>
                <w:rFonts w:hint="default"/>
                <w:color w:val="auto"/>
                <w:kern w:val="0"/>
                <w:u w:val="single"/>
              </w:rPr>
              <w:t xml:space="preserve">     </w:t>
            </w:r>
            <w:r>
              <w:rPr>
                <w:rFonts w:hint="default"/>
                <w:color w:val="auto"/>
                <w:kern w:val="0"/>
              </w:rPr>
              <w:t>ppb</w:t>
            </w:r>
            <w:r>
              <w:rPr>
                <w:rFonts w:hint="eastAsia"/>
                <w:color w:val="auto"/>
                <w:kern w:val="0"/>
              </w:rPr>
              <w:t>（≤20ppb）</w:t>
            </w:r>
          </w:p>
        </w:tc>
        <w:tc>
          <w:tcPr>
            <w:tcW w:w="1080" w:type="dxa"/>
            <w:vAlign w:val="center"/>
          </w:tcPr>
          <w:p w14:paraId="5C459052">
            <w:pPr>
              <w:adjustRightInd w:val="0"/>
              <w:snapToGrid w:val="0"/>
              <w:spacing w:before="0" w:beforeAutospacing="0" w:after="0" w:afterAutospacing="0"/>
              <w:ind w:left="0" w:right="0"/>
              <w:jc w:val="center"/>
              <w:rPr>
                <w:rFonts w:hint="default"/>
                <w:color w:val="auto"/>
              </w:rPr>
            </w:pPr>
            <w:r>
              <w:rPr>
                <w:rFonts w:hint="default"/>
                <w:color w:val="auto"/>
              </w:rPr>
              <w:t>4</w:t>
            </w:r>
          </w:p>
        </w:tc>
        <w:tc>
          <w:tcPr>
            <w:tcW w:w="1440" w:type="dxa"/>
            <w:vAlign w:val="center"/>
          </w:tcPr>
          <w:p w14:paraId="201DF85F">
            <w:pPr>
              <w:snapToGrid w:val="0"/>
              <w:spacing w:before="0" w:beforeAutospacing="0" w:after="0" w:afterAutospacing="0"/>
              <w:ind w:left="0" w:right="0"/>
              <w:rPr>
                <w:rFonts w:hint="default"/>
                <w:color w:val="auto"/>
              </w:rPr>
            </w:pPr>
            <w:r>
              <w:rPr>
                <w:rFonts w:hint="eastAsia"/>
                <w:color w:val="auto"/>
              </w:rPr>
              <w:t>一项不满足扣</w:t>
            </w:r>
            <w:r>
              <w:rPr>
                <w:rFonts w:hint="default"/>
                <w:color w:val="auto"/>
              </w:rPr>
              <w:t>2</w:t>
            </w:r>
            <w:r>
              <w:rPr>
                <w:rFonts w:hint="eastAsia"/>
                <w:color w:val="auto"/>
              </w:rPr>
              <w:t>分</w:t>
            </w:r>
          </w:p>
        </w:tc>
        <w:tc>
          <w:tcPr>
            <w:tcW w:w="720" w:type="dxa"/>
            <w:vAlign w:val="center"/>
          </w:tcPr>
          <w:p w14:paraId="2650B9BA">
            <w:pPr>
              <w:adjustRightInd w:val="0"/>
              <w:snapToGrid w:val="0"/>
              <w:spacing w:before="0" w:beforeAutospacing="0" w:after="0" w:afterAutospacing="0"/>
              <w:ind w:left="0" w:right="0"/>
              <w:jc w:val="center"/>
              <w:rPr>
                <w:rFonts w:hint="default"/>
                <w:color w:val="auto"/>
                <w:szCs w:val="21"/>
              </w:rPr>
            </w:pPr>
          </w:p>
        </w:tc>
      </w:tr>
      <w:tr w14:paraId="56B4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080" w:type="dxa"/>
            <w:vMerge w:val="continue"/>
            <w:vAlign w:val="center"/>
          </w:tcPr>
          <w:p w14:paraId="6529212A">
            <w:pPr>
              <w:widowControl/>
              <w:spacing w:before="0" w:beforeAutospacing="0" w:after="0" w:afterAutospacing="0"/>
              <w:ind w:left="0" w:right="0"/>
              <w:jc w:val="left"/>
              <w:rPr>
                <w:rFonts w:hint="default"/>
                <w:b/>
                <w:bCs/>
                <w:color w:val="auto"/>
                <w:szCs w:val="21"/>
              </w:rPr>
            </w:pPr>
          </w:p>
        </w:tc>
        <w:tc>
          <w:tcPr>
            <w:tcW w:w="758" w:type="dxa"/>
            <w:vMerge w:val="continue"/>
            <w:vAlign w:val="center"/>
          </w:tcPr>
          <w:p w14:paraId="680AFCB5">
            <w:pPr>
              <w:adjustRightInd w:val="0"/>
              <w:snapToGrid w:val="0"/>
              <w:spacing w:before="0" w:beforeAutospacing="0" w:after="0" w:afterAutospacing="0"/>
              <w:ind w:left="0" w:right="0"/>
              <w:jc w:val="left"/>
              <w:rPr>
                <w:rFonts w:hint="default"/>
                <w:color w:val="auto"/>
                <w:kern w:val="0"/>
              </w:rPr>
            </w:pPr>
          </w:p>
        </w:tc>
        <w:tc>
          <w:tcPr>
            <w:tcW w:w="4642" w:type="dxa"/>
            <w:vAlign w:val="center"/>
          </w:tcPr>
          <w:p w14:paraId="72479217">
            <w:pPr>
              <w:adjustRightInd w:val="0"/>
              <w:snapToGrid w:val="0"/>
              <w:spacing w:before="0" w:beforeAutospacing="0" w:after="0" w:afterAutospacing="0"/>
              <w:ind w:left="0" w:right="0"/>
              <w:jc w:val="left"/>
              <w:rPr>
                <w:rFonts w:hint="default"/>
                <w:color w:val="auto"/>
                <w:kern w:val="0"/>
              </w:rPr>
            </w:pPr>
            <w:r>
              <w:rPr>
                <w:rFonts w:hint="eastAsia"/>
                <w:color w:val="auto"/>
                <w:kern w:val="0"/>
              </w:rPr>
              <w:t>标点测试</w:t>
            </w:r>
            <w:r>
              <w:rPr>
                <w:rFonts w:hint="default"/>
                <w:color w:val="auto"/>
                <w:kern w:val="0"/>
              </w:rPr>
              <w:t>：</w:t>
            </w:r>
          </w:p>
          <w:p w14:paraId="5B3EF2ED">
            <w:pPr>
              <w:adjustRightInd w:val="0"/>
              <w:snapToGrid w:val="0"/>
              <w:spacing w:before="0" w:beforeAutospacing="0" w:after="0" w:afterAutospacing="0"/>
              <w:ind w:left="0" w:right="0"/>
              <w:jc w:val="left"/>
              <w:rPr>
                <w:rFonts w:hint="default"/>
                <w:color w:val="auto"/>
                <w:kern w:val="0"/>
              </w:rPr>
            </w:pPr>
            <w:r>
              <w:rPr>
                <w:rFonts w:hint="default"/>
                <w:color w:val="auto"/>
                <w:kern w:val="0"/>
              </w:rPr>
              <w:t>标气浓度</w:t>
            </w:r>
            <w:r>
              <w:rPr>
                <w:rFonts w:hint="eastAsia"/>
                <w:color w:val="auto"/>
                <w:kern w:val="0"/>
              </w:rPr>
              <w:t>：甲烷</w:t>
            </w:r>
            <w:r>
              <w:rPr>
                <w:rFonts w:hint="default"/>
                <w:color w:val="auto"/>
                <w:kern w:val="0"/>
              </w:rPr>
              <w:t>_____</w:t>
            </w:r>
            <w:r>
              <w:rPr>
                <w:rFonts w:hint="eastAsia"/>
                <w:color w:val="auto"/>
                <w:kern w:val="0"/>
              </w:rPr>
              <w:t>丙烷</w:t>
            </w:r>
            <w:r>
              <w:rPr>
                <w:rFonts w:hint="default"/>
                <w:color w:val="auto"/>
                <w:kern w:val="0"/>
              </w:rPr>
              <w:t>_____,有效期_____。</w:t>
            </w:r>
          </w:p>
          <w:p w14:paraId="6CD7E942">
            <w:pPr>
              <w:adjustRightInd w:val="0"/>
              <w:snapToGrid w:val="0"/>
              <w:spacing w:before="0" w:beforeAutospacing="0" w:after="0" w:afterAutospacing="0"/>
              <w:ind w:left="0" w:right="0"/>
              <w:jc w:val="left"/>
              <w:rPr>
                <w:rFonts w:hint="default"/>
                <w:color w:val="auto"/>
                <w:kern w:val="0"/>
              </w:rPr>
            </w:pPr>
            <w:r>
              <w:rPr>
                <w:rFonts w:hint="eastAsia"/>
                <w:color w:val="auto"/>
                <w:kern w:val="0"/>
              </w:rPr>
              <w:t>输出浓度：甲烷</w:t>
            </w:r>
            <w:r>
              <w:rPr>
                <w:rFonts w:hint="default"/>
                <w:color w:val="auto"/>
                <w:kern w:val="0"/>
              </w:rPr>
              <w:t>_____ppb，</w:t>
            </w:r>
            <w:r>
              <w:rPr>
                <w:rFonts w:hint="eastAsia"/>
                <w:color w:val="auto"/>
                <w:kern w:val="0"/>
              </w:rPr>
              <w:t>丙烷</w:t>
            </w:r>
            <w:r>
              <w:rPr>
                <w:rFonts w:hint="default"/>
                <w:color w:val="auto"/>
                <w:kern w:val="0"/>
              </w:rPr>
              <w:t>_____ppb</w:t>
            </w:r>
          </w:p>
          <w:p w14:paraId="40C9B835">
            <w:pPr>
              <w:adjustRightInd w:val="0"/>
              <w:snapToGrid w:val="0"/>
              <w:spacing w:before="0" w:beforeAutospacing="0" w:after="0" w:afterAutospacing="0"/>
              <w:ind w:left="0" w:right="0"/>
              <w:jc w:val="left"/>
              <w:rPr>
                <w:rFonts w:hint="default"/>
                <w:color w:val="auto"/>
                <w:kern w:val="0"/>
              </w:rPr>
            </w:pPr>
            <w:r>
              <w:rPr>
                <w:rFonts w:hint="default"/>
                <w:color w:val="auto"/>
                <w:kern w:val="0"/>
              </w:rPr>
              <w:t>仪器响应浓度</w:t>
            </w:r>
            <w:r>
              <w:rPr>
                <w:rFonts w:hint="eastAsia"/>
                <w:color w:val="auto"/>
                <w:kern w:val="0"/>
              </w:rPr>
              <w:t>：甲烷</w:t>
            </w:r>
            <w:r>
              <w:rPr>
                <w:rFonts w:hint="default"/>
                <w:color w:val="auto"/>
                <w:kern w:val="0"/>
              </w:rPr>
              <w:t>____ppb，</w:t>
            </w:r>
            <w:r>
              <w:rPr>
                <w:rFonts w:hint="eastAsia"/>
                <w:color w:val="auto"/>
                <w:kern w:val="0"/>
              </w:rPr>
              <w:t>总烃</w:t>
            </w:r>
            <w:r>
              <w:rPr>
                <w:rFonts w:hint="default"/>
                <w:color w:val="auto"/>
                <w:kern w:val="0"/>
              </w:rPr>
              <w:t>_____ ppb，浓度误差</w:t>
            </w:r>
            <w:r>
              <w:rPr>
                <w:rFonts w:hint="default"/>
                <w:color w:val="auto"/>
                <w:kern w:val="0"/>
                <w:u w:val="single"/>
              </w:rPr>
              <w:t xml:space="preserve">      </w:t>
            </w:r>
            <w:r>
              <w:rPr>
                <w:rFonts w:hint="eastAsia"/>
                <w:color w:val="auto"/>
                <w:kern w:val="0"/>
                <w:u w:val="single"/>
              </w:rPr>
              <w:t>/</w:t>
            </w:r>
            <w:r>
              <w:rPr>
                <w:rFonts w:hint="default"/>
                <w:color w:val="auto"/>
                <w:kern w:val="0"/>
                <w:u w:val="single"/>
              </w:rPr>
              <w:t xml:space="preserve">      </w:t>
            </w:r>
            <w:r>
              <w:rPr>
                <w:rFonts w:hint="default"/>
                <w:color w:val="auto"/>
                <w:kern w:val="0"/>
              </w:rPr>
              <w:t>（≤±5%）</w:t>
            </w:r>
          </w:p>
        </w:tc>
        <w:tc>
          <w:tcPr>
            <w:tcW w:w="1080" w:type="dxa"/>
            <w:vAlign w:val="center"/>
          </w:tcPr>
          <w:p w14:paraId="4E837823">
            <w:pPr>
              <w:adjustRightInd w:val="0"/>
              <w:snapToGrid w:val="0"/>
              <w:spacing w:before="0" w:beforeAutospacing="0" w:after="0" w:afterAutospacing="0"/>
              <w:ind w:left="0" w:right="0"/>
              <w:jc w:val="center"/>
              <w:rPr>
                <w:rFonts w:hint="default"/>
                <w:color w:val="auto"/>
              </w:rPr>
            </w:pPr>
            <w:r>
              <w:rPr>
                <w:rFonts w:hint="default"/>
                <w:color w:val="auto"/>
              </w:rPr>
              <w:t>5</w:t>
            </w:r>
          </w:p>
        </w:tc>
        <w:tc>
          <w:tcPr>
            <w:tcW w:w="1440" w:type="dxa"/>
            <w:vAlign w:val="center"/>
          </w:tcPr>
          <w:p w14:paraId="60870C86">
            <w:pPr>
              <w:snapToGrid w:val="0"/>
              <w:spacing w:before="0" w:beforeAutospacing="0" w:after="0" w:afterAutospacing="0"/>
              <w:ind w:left="0" w:right="0"/>
              <w:rPr>
                <w:rFonts w:hint="default"/>
                <w:color w:val="auto"/>
              </w:rPr>
            </w:pPr>
            <w:r>
              <w:rPr>
                <w:rFonts w:hint="eastAsia"/>
                <w:color w:val="auto"/>
              </w:rPr>
              <w:t>一项不满足扣2分</w:t>
            </w:r>
          </w:p>
        </w:tc>
        <w:tc>
          <w:tcPr>
            <w:tcW w:w="720" w:type="dxa"/>
            <w:vAlign w:val="center"/>
          </w:tcPr>
          <w:p w14:paraId="1D8C9ED4">
            <w:pPr>
              <w:adjustRightInd w:val="0"/>
              <w:snapToGrid w:val="0"/>
              <w:spacing w:before="0" w:beforeAutospacing="0" w:after="0" w:afterAutospacing="0"/>
              <w:ind w:left="0" w:right="0"/>
              <w:jc w:val="center"/>
              <w:rPr>
                <w:rFonts w:hint="default"/>
                <w:color w:val="auto"/>
                <w:szCs w:val="21"/>
              </w:rPr>
            </w:pPr>
          </w:p>
        </w:tc>
      </w:tr>
      <w:tr w14:paraId="7C50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080" w:type="dxa"/>
            <w:vMerge w:val="restart"/>
            <w:vAlign w:val="center"/>
          </w:tcPr>
          <w:p w14:paraId="28268EFC">
            <w:pPr>
              <w:adjustRightInd w:val="0"/>
              <w:snapToGrid w:val="0"/>
              <w:spacing w:before="0" w:beforeAutospacing="0" w:after="0" w:afterAutospacing="0"/>
              <w:ind w:left="0" w:right="0"/>
              <w:jc w:val="left"/>
              <w:rPr>
                <w:rFonts w:hint="default"/>
                <w:b/>
                <w:bCs/>
                <w:color w:val="auto"/>
                <w:kern w:val="0"/>
                <w:szCs w:val="21"/>
              </w:rPr>
            </w:pPr>
            <w:r>
              <w:rPr>
                <w:rFonts w:hint="default"/>
                <w:b/>
                <w:bCs/>
                <w:color w:val="auto"/>
                <w:kern w:val="0"/>
              </w:rPr>
              <w:t>3.</w:t>
            </w:r>
            <w:r>
              <w:rPr>
                <w:rFonts w:hint="eastAsia" w:ascii="宋体" w:hAnsi="宋体"/>
                <w:b/>
                <w:bCs/>
                <w:color w:val="auto"/>
                <w:kern w:val="0"/>
              </w:rPr>
              <w:t xml:space="preserve"> 记录及监测档案的完整性</w:t>
            </w:r>
            <w:r>
              <w:rPr>
                <w:rFonts w:hint="eastAsia"/>
                <w:b/>
                <w:bCs/>
                <w:color w:val="auto"/>
                <w:kern w:val="0"/>
              </w:rPr>
              <w:t>（</w:t>
            </w:r>
            <w:r>
              <w:rPr>
                <w:rFonts w:hint="eastAsia"/>
                <w:b/>
                <w:bCs/>
                <w:color w:val="auto"/>
                <w:kern w:val="0"/>
                <w:lang w:val="en-US" w:eastAsia="zh-CN"/>
              </w:rPr>
              <w:t>13.5</w:t>
            </w:r>
            <w:r>
              <w:rPr>
                <w:rFonts w:hint="eastAsia"/>
                <w:b/>
                <w:bCs/>
                <w:color w:val="auto"/>
                <w:kern w:val="0"/>
              </w:rPr>
              <w:t>分）</w:t>
            </w:r>
          </w:p>
        </w:tc>
        <w:tc>
          <w:tcPr>
            <w:tcW w:w="5400" w:type="dxa"/>
            <w:gridSpan w:val="2"/>
            <w:vAlign w:val="center"/>
          </w:tcPr>
          <w:p w14:paraId="095E0799">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按规定对设备巡检维护，填写巡检记录</w:t>
            </w:r>
          </w:p>
        </w:tc>
        <w:tc>
          <w:tcPr>
            <w:tcW w:w="1080" w:type="dxa"/>
            <w:vAlign w:val="center"/>
          </w:tcPr>
          <w:p w14:paraId="749F46C7">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lang w:val="en-US" w:eastAsia="zh-CN"/>
              </w:rPr>
              <w:t>1.5</w:t>
            </w:r>
          </w:p>
        </w:tc>
        <w:tc>
          <w:tcPr>
            <w:tcW w:w="1440" w:type="dxa"/>
            <w:vAlign w:val="center"/>
          </w:tcPr>
          <w:p w14:paraId="300EA6D0">
            <w:pPr>
              <w:snapToGrid w:val="0"/>
              <w:spacing w:before="0" w:beforeAutospacing="0" w:after="0" w:afterAutospacing="0"/>
              <w:ind w:left="0" w:right="0"/>
              <w:rPr>
                <w:rFonts w:hint="default"/>
                <w:color w:val="auto"/>
                <w:szCs w:val="21"/>
              </w:rPr>
            </w:pPr>
          </w:p>
        </w:tc>
        <w:tc>
          <w:tcPr>
            <w:tcW w:w="720" w:type="dxa"/>
            <w:vAlign w:val="center"/>
          </w:tcPr>
          <w:p w14:paraId="3CB57943">
            <w:pPr>
              <w:adjustRightInd w:val="0"/>
              <w:snapToGrid w:val="0"/>
              <w:spacing w:before="0" w:beforeAutospacing="0" w:after="0" w:afterAutospacing="0"/>
              <w:ind w:left="0" w:right="0"/>
              <w:jc w:val="center"/>
              <w:rPr>
                <w:rFonts w:hint="default"/>
                <w:color w:val="auto"/>
                <w:kern w:val="0"/>
                <w:szCs w:val="21"/>
              </w:rPr>
            </w:pPr>
          </w:p>
        </w:tc>
      </w:tr>
      <w:tr w14:paraId="5855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7F77C510">
            <w:pPr>
              <w:widowControl/>
              <w:spacing w:before="0" w:beforeAutospacing="0" w:after="0" w:afterAutospacing="0"/>
              <w:ind w:left="0" w:right="0"/>
              <w:jc w:val="left"/>
              <w:rPr>
                <w:rFonts w:hint="default"/>
                <w:b/>
                <w:bCs/>
                <w:color w:val="auto"/>
                <w:kern w:val="0"/>
                <w:szCs w:val="21"/>
              </w:rPr>
            </w:pPr>
          </w:p>
        </w:tc>
        <w:tc>
          <w:tcPr>
            <w:tcW w:w="5400" w:type="dxa"/>
            <w:gridSpan w:val="2"/>
            <w:vAlign w:val="center"/>
          </w:tcPr>
          <w:p w14:paraId="7BB43818">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用于校准的设备（流量计、温度计、大气压计）是否每年通过计量检定</w:t>
            </w:r>
            <w:r>
              <w:rPr>
                <w:rFonts w:hint="default"/>
                <w:color w:val="auto"/>
                <w:kern w:val="0"/>
              </w:rPr>
              <w:t xml:space="preserve"> </w:t>
            </w:r>
          </w:p>
        </w:tc>
        <w:tc>
          <w:tcPr>
            <w:tcW w:w="1080" w:type="dxa"/>
            <w:vAlign w:val="center"/>
          </w:tcPr>
          <w:p w14:paraId="7E5C8818">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lang w:val="en-US" w:eastAsia="zh-CN"/>
              </w:rPr>
              <w:t>1.5</w:t>
            </w:r>
          </w:p>
        </w:tc>
        <w:tc>
          <w:tcPr>
            <w:tcW w:w="1440" w:type="dxa"/>
            <w:vAlign w:val="center"/>
          </w:tcPr>
          <w:p w14:paraId="3B754115">
            <w:pPr>
              <w:snapToGrid w:val="0"/>
              <w:spacing w:before="0" w:beforeAutospacing="0" w:after="0" w:afterAutospacing="0"/>
              <w:ind w:left="0" w:right="0"/>
              <w:rPr>
                <w:rFonts w:hint="default"/>
                <w:color w:val="auto"/>
                <w:szCs w:val="21"/>
              </w:rPr>
            </w:pPr>
            <w:r>
              <w:rPr>
                <w:rFonts w:hint="eastAsia"/>
                <w:color w:val="auto"/>
              </w:rPr>
              <w:t>一项不满足扣</w:t>
            </w:r>
            <w:r>
              <w:rPr>
                <w:rFonts w:hint="eastAsia"/>
                <w:color w:val="auto"/>
                <w:lang w:val="en-US" w:eastAsia="zh-CN"/>
              </w:rPr>
              <w:t>1.5</w:t>
            </w:r>
            <w:r>
              <w:rPr>
                <w:rFonts w:hint="eastAsia"/>
                <w:color w:val="auto"/>
              </w:rPr>
              <w:t>分</w:t>
            </w:r>
          </w:p>
        </w:tc>
        <w:tc>
          <w:tcPr>
            <w:tcW w:w="720" w:type="dxa"/>
            <w:vAlign w:val="center"/>
          </w:tcPr>
          <w:p w14:paraId="17330BD4">
            <w:pPr>
              <w:adjustRightInd w:val="0"/>
              <w:snapToGrid w:val="0"/>
              <w:spacing w:before="0" w:beforeAutospacing="0" w:after="0" w:afterAutospacing="0"/>
              <w:ind w:left="0" w:right="0"/>
              <w:jc w:val="center"/>
              <w:rPr>
                <w:rFonts w:hint="default"/>
                <w:color w:val="auto"/>
                <w:kern w:val="0"/>
                <w:szCs w:val="21"/>
              </w:rPr>
            </w:pPr>
          </w:p>
        </w:tc>
      </w:tr>
      <w:tr w14:paraId="4827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22A695CF">
            <w:pPr>
              <w:widowControl/>
              <w:spacing w:before="0" w:beforeAutospacing="0" w:after="0" w:afterAutospacing="0"/>
              <w:ind w:left="0" w:right="0"/>
              <w:jc w:val="left"/>
              <w:rPr>
                <w:rFonts w:hint="default"/>
                <w:b/>
                <w:bCs/>
                <w:color w:val="auto"/>
                <w:kern w:val="0"/>
                <w:szCs w:val="21"/>
              </w:rPr>
            </w:pPr>
          </w:p>
        </w:tc>
        <w:tc>
          <w:tcPr>
            <w:tcW w:w="5400" w:type="dxa"/>
            <w:gridSpan w:val="2"/>
            <w:vAlign w:val="center"/>
          </w:tcPr>
          <w:p w14:paraId="356270B6">
            <w:pPr>
              <w:adjustRightInd w:val="0"/>
              <w:snapToGrid w:val="0"/>
              <w:spacing w:before="0" w:beforeAutospacing="0" w:after="0" w:afterAutospacing="0"/>
              <w:ind w:left="0" w:right="0"/>
              <w:jc w:val="left"/>
              <w:rPr>
                <w:rFonts w:hint="default"/>
                <w:color w:val="auto"/>
                <w:kern w:val="0"/>
              </w:rPr>
            </w:pPr>
            <w:r>
              <w:rPr>
                <w:rFonts w:hint="eastAsia"/>
                <w:color w:val="auto"/>
                <w:kern w:val="0"/>
              </w:rPr>
              <w:t>非甲烷总烃监测项目质控校准记录（包括零跨、流量、多点校准、稳定性、准确性及检出限等）零跨</w:t>
            </w:r>
            <w:r>
              <w:rPr>
                <w:rFonts w:hint="default"/>
                <w:color w:val="auto"/>
                <w:kern w:val="0"/>
              </w:rPr>
              <w:t>1</w:t>
            </w:r>
            <w:r>
              <w:rPr>
                <w:rFonts w:hint="eastAsia"/>
                <w:color w:val="auto"/>
                <w:kern w:val="0"/>
              </w:rPr>
              <w:t>次</w:t>
            </w:r>
            <w:r>
              <w:rPr>
                <w:rFonts w:hint="default"/>
                <w:color w:val="auto"/>
                <w:kern w:val="0"/>
              </w:rPr>
              <w:t>/</w:t>
            </w:r>
            <w:r>
              <w:rPr>
                <w:rFonts w:hint="eastAsia"/>
                <w:color w:val="auto"/>
                <w:kern w:val="0"/>
              </w:rPr>
              <w:t>周，流量</w:t>
            </w:r>
            <w:r>
              <w:rPr>
                <w:rFonts w:hint="default"/>
                <w:color w:val="auto"/>
                <w:kern w:val="0"/>
              </w:rPr>
              <w:t>1</w:t>
            </w:r>
            <w:r>
              <w:rPr>
                <w:rFonts w:hint="eastAsia"/>
                <w:color w:val="auto"/>
                <w:kern w:val="0"/>
              </w:rPr>
              <w:t>次</w:t>
            </w:r>
            <w:r>
              <w:rPr>
                <w:rFonts w:hint="default"/>
                <w:color w:val="auto"/>
                <w:kern w:val="0"/>
              </w:rPr>
              <w:t>/</w:t>
            </w:r>
            <w:r>
              <w:rPr>
                <w:rFonts w:hint="eastAsia"/>
                <w:color w:val="auto"/>
                <w:kern w:val="0"/>
              </w:rPr>
              <w:t>月，多点</w:t>
            </w:r>
            <w:r>
              <w:rPr>
                <w:rFonts w:hint="default"/>
                <w:color w:val="auto"/>
                <w:kern w:val="0"/>
              </w:rPr>
              <w:t>1</w:t>
            </w:r>
            <w:r>
              <w:rPr>
                <w:rFonts w:hint="eastAsia"/>
                <w:color w:val="auto"/>
                <w:kern w:val="0"/>
              </w:rPr>
              <w:t>次</w:t>
            </w:r>
            <w:r>
              <w:rPr>
                <w:rFonts w:hint="default"/>
                <w:color w:val="auto"/>
                <w:kern w:val="0"/>
              </w:rPr>
              <w:t>/</w:t>
            </w:r>
            <w:r>
              <w:rPr>
                <w:rFonts w:hint="eastAsia"/>
                <w:color w:val="auto"/>
                <w:kern w:val="0"/>
              </w:rPr>
              <w:t>半年，稳定性、准确性及检出限/年；</w:t>
            </w:r>
          </w:p>
        </w:tc>
        <w:tc>
          <w:tcPr>
            <w:tcW w:w="1080" w:type="dxa"/>
            <w:vAlign w:val="center"/>
          </w:tcPr>
          <w:p w14:paraId="1756ED96">
            <w:pPr>
              <w:adjustRightInd w:val="0"/>
              <w:snapToGrid w:val="0"/>
              <w:spacing w:before="0" w:beforeAutospacing="0" w:after="0" w:afterAutospacing="0"/>
              <w:ind w:left="0" w:right="0"/>
              <w:jc w:val="center"/>
              <w:rPr>
                <w:rFonts w:hint="eastAsia" w:eastAsia="宋体"/>
                <w:color w:val="auto"/>
                <w:kern w:val="0"/>
                <w:lang w:eastAsia="zh-CN"/>
              </w:rPr>
            </w:pPr>
            <w:r>
              <w:rPr>
                <w:rFonts w:hint="eastAsia"/>
                <w:color w:val="auto"/>
                <w:kern w:val="0"/>
                <w:lang w:val="en-US" w:eastAsia="zh-CN"/>
              </w:rPr>
              <w:t>3</w:t>
            </w:r>
          </w:p>
        </w:tc>
        <w:tc>
          <w:tcPr>
            <w:tcW w:w="1440" w:type="dxa"/>
            <w:vAlign w:val="center"/>
          </w:tcPr>
          <w:p w14:paraId="360C685F">
            <w:pPr>
              <w:snapToGrid w:val="0"/>
              <w:spacing w:before="0" w:beforeAutospacing="0" w:after="0" w:afterAutospacing="0"/>
              <w:ind w:left="0" w:right="0"/>
              <w:rPr>
                <w:rFonts w:hint="default"/>
                <w:color w:val="auto"/>
              </w:rPr>
            </w:pPr>
            <w:r>
              <w:rPr>
                <w:rFonts w:hint="eastAsia"/>
                <w:color w:val="auto"/>
              </w:rPr>
              <w:t>缺一项扣</w:t>
            </w:r>
            <w:r>
              <w:rPr>
                <w:rFonts w:hint="eastAsia"/>
                <w:color w:val="auto"/>
                <w:lang w:val="en-US" w:eastAsia="zh-CN"/>
              </w:rPr>
              <w:t>3</w:t>
            </w:r>
            <w:r>
              <w:rPr>
                <w:rFonts w:hint="eastAsia"/>
                <w:color w:val="auto"/>
              </w:rPr>
              <w:t>分</w:t>
            </w:r>
          </w:p>
        </w:tc>
        <w:tc>
          <w:tcPr>
            <w:tcW w:w="720" w:type="dxa"/>
            <w:vAlign w:val="center"/>
          </w:tcPr>
          <w:p w14:paraId="45583D3C">
            <w:pPr>
              <w:adjustRightInd w:val="0"/>
              <w:snapToGrid w:val="0"/>
              <w:spacing w:before="0" w:beforeAutospacing="0" w:after="0" w:afterAutospacing="0"/>
              <w:ind w:left="0" w:right="0"/>
              <w:jc w:val="center"/>
              <w:rPr>
                <w:rFonts w:hint="default"/>
                <w:color w:val="auto"/>
                <w:kern w:val="0"/>
                <w:szCs w:val="21"/>
              </w:rPr>
            </w:pPr>
          </w:p>
        </w:tc>
      </w:tr>
      <w:tr w14:paraId="2074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47429095">
            <w:pPr>
              <w:widowControl/>
              <w:spacing w:before="0" w:beforeAutospacing="0" w:after="0" w:afterAutospacing="0"/>
              <w:ind w:left="0" w:right="0"/>
              <w:jc w:val="left"/>
              <w:rPr>
                <w:rFonts w:hint="default"/>
                <w:b/>
                <w:bCs/>
                <w:color w:val="auto"/>
                <w:kern w:val="0"/>
                <w:szCs w:val="21"/>
              </w:rPr>
            </w:pPr>
          </w:p>
        </w:tc>
        <w:tc>
          <w:tcPr>
            <w:tcW w:w="5400" w:type="dxa"/>
            <w:gridSpan w:val="2"/>
            <w:vAlign w:val="center"/>
          </w:tcPr>
          <w:p w14:paraId="66D8AD3D">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采样总管清洁记录、采样支管管清洁记录、设备维修记录、耗品耗材更换记录</w:t>
            </w:r>
          </w:p>
        </w:tc>
        <w:tc>
          <w:tcPr>
            <w:tcW w:w="1080" w:type="dxa"/>
            <w:vAlign w:val="center"/>
          </w:tcPr>
          <w:p w14:paraId="70CFC1C6">
            <w:pPr>
              <w:adjustRightInd w:val="0"/>
              <w:snapToGrid w:val="0"/>
              <w:spacing w:before="0" w:beforeAutospacing="0" w:after="0" w:afterAutospacing="0"/>
              <w:ind w:left="0" w:right="0"/>
              <w:jc w:val="center"/>
              <w:rPr>
                <w:rFonts w:hint="eastAsia" w:eastAsia="宋体"/>
                <w:color w:val="auto"/>
                <w:kern w:val="0"/>
                <w:szCs w:val="21"/>
                <w:lang w:eastAsia="zh-CN"/>
              </w:rPr>
            </w:pPr>
            <w:r>
              <w:rPr>
                <w:rFonts w:hint="eastAsia"/>
                <w:color w:val="auto"/>
                <w:kern w:val="0"/>
                <w:lang w:val="en-US" w:eastAsia="zh-CN"/>
              </w:rPr>
              <w:t>3</w:t>
            </w:r>
          </w:p>
        </w:tc>
        <w:tc>
          <w:tcPr>
            <w:tcW w:w="1440" w:type="dxa"/>
            <w:vAlign w:val="center"/>
          </w:tcPr>
          <w:p w14:paraId="60BA7497">
            <w:pPr>
              <w:snapToGrid w:val="0"/>
              <w:spacing w:before="0" w:beforeAutospacing="0" w:after="0" w:afterAutospacing="0"/>
              <w:ind w:left="0" w:right="0"/>
              <w:rPr>
                <w:rFonts w:hint="default"/>
                <w:color w:val="auto"/>
                <w:szCs w:val="21"/>
              </w:rPr>
            </w:pPr>
            <w:r>
              <w:rPr>
                <w:rFonts w:hint="eastAsia"/>
                <w:color w:val="auto"/>
              </w:rPr>
              <w:t>缺一项扣</w:t>
            </w:r>
            <w:r>
              <w:rPr>
                <w:rFonts w:hint="eastAsia"/>
                <w:color w:val="auto"/>
                <w:lang w:val="en-US" w:eastAsia="zh-CN"/>
              </w:rPr>
              <w:t>1</w:t>
            </w:r>
            <w:r>
              <w:rPr>
                <w:rFonts w:hint="eastAsia"/>
                <w:color w:val="auto"/>
              </w:rPr>
              <w:t>分</w:t>
            </w:r>
          </w:p>
        </w:tc>
        <w:tc>
          <w:tcPr>
            <w:tcW w:w="720" w:type="dxa"/>
            <w:vAlign w:val="center"/>
          </w:tcPr>
          <w:p w14:paraId="0BAA932C">
            <w:pPr>
              <w:adjustRightInd w:val="0"/>
              <w:snapToGrid w:val="0"/>
              <w:spacing w:before="0" w:beforeAutospacing="0" w:after="0" w:afterAutospacing="0"/>
              <w:ind w:left="0" w:right="0"/>
              <w:jc w:val="center"/>
              <w:rPr>
                <w:rFonts w:hint="default"/>
                <w:color w:val="auto"/>
                <w:kern w:val="0"/>
                <w:szCs w:val="21"/>
              </w:rPr>
            </w:pPr>
          </w:p>
        </w:tc>
      </w:tr>
      <w:tr w14:paraId="0405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80" w:type="dxa"/>
            <w:vMerge w:val="continue"/>
            <w:vAlign w:val="center"/>
          </w:tcPr>
          <w:p w14:paraId="2B48A0B1">
            <w:pPr>
              <w:widowControl/>
              <w:spacing w:before="0" w:beforeAutospacing="0" w:after="0" w:afterAutospacing="0"/>
              <w:ind w:left="0" w:right="0"/>
              <w:jc w:val="left"/>
              <w:rPr>
                <w:rFonts w:hint="default"/>
                <w:b/>
                <w:bCs/>
                <w:color w:val="auto"/>
                <w:kern w:val="0"/>
                <w:szCs w:val="21"/>
              </w:rPr>
            </w:pPr>
          </w:p>
        </w:tc>
        <w:tc>
          <w:tcPr>
            <w:tcW w:w="5400" w:type="dxa"/>
            <w:gridSpan w:val="2"/>
            <w:vAlign w:val="center"/>
          </w:tcPr>
          <w:p w14:paraId="125F5438">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上述各项记录与工控机中数据是否一致</w:t>
            </w:r>
          </w:p>
        </w:tc>
        <w:tc>
          <w:tcPr>
            <w:tcW w:w="1080" w:type="dxa"/>
            <w:vAlign w:val="center"/>
          </w:tcPr>
          <w:p w14:paraId="1A6D86A6">
            <w:pPr>
              <w:adjustRightInd w:val="0"/>
              <w:snapToGrid w:val="0"/>
              <w:spacing w:before="0" w:beforeAutospacing="0" w:after="0" w:afterAutospacing="0"/>
              <w:ind w:left="0" w:right="0"/>
              <w:jc w:val="center"/>
              <w:rPr>
                <w:rFonts w:hint="eastAsia" w:eastAsia="宋体"/>
                <w:color w:val="auto"/>
                <w:kern w:val="0"/>
                <w:szCs w:val="21"/>
                <w:lang w:eastAsia="zh-CN"/>
              </w:rPr>
            </w:pPr>
            <w:r>
              <w:rPr>
                <w:rFonts w:hint="eastAsia"/>
                <w:color w:val="auto"/>
                <w:kern w:val="0"/>
                <w:lang w:val="en-US" w:eastAsia="zh-CN"/>
              </w:rPr>
              <w:t>3</w:t>
            </w:r>
          </w:p>
        </w:tc>
        <w:tc>
          <w:tcPr>
            <w:tcW w:w="1440" w:type="dxa"/>
            <w:vAlign w:val="center"/>
          </w:tcPr>
          <w:p w14:paraId="663C8748">
            <w:pPr>
              <w:snapToGrid w:val="0"/>
              <w:spacing w:before="0" w:beforeAutospacing="0" w:after="0" w:afterAutospacing="0"/>
              <w:ind w:left="0" w:right="0"/>
              <w:rPr>
                <w:rFonts w:hint="default"/>
                <w:color w:val="auto"/>
                <w:szCs w:val="21"/>
              </w:rPr>
            </w:pPr>
          </w:p>
        </w:tc>
        <w:tc>
          <w:tcPr>
            <w:tcW w:w="720" w:type="dxa"/>
            <w:vAlign w:val="center"/>
          </w:tcPr>
          <w:p w14:paraId="43DE72A3">
            <w:pPr>
              <w:adjustRightInd w:val="0"/>
              <w:snapToGrid w:val="0"/>
              <w:spacing w:before="0" w:beforeAutospacing="0" w:after="0" w:afterAutospacing="0"/>
              <w:ind w:left="0" w:right="0"/>
              <w:jc w:val="center"/>
              <w:rPr>
                <w:rFonts w:hint="default"/>
                <w:color w:val="auto"/>
                <w:kern w:val="0"/>
                <w:szCs w:val="21"/>
              </w:rPr>
            </w:pPr>
          </w:p>
        </w:tc>
      </w:tr>
      <w:tr w14:paraId="2FFD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14:paraId="578F7CB3">
            <w:pPr>
              <w:widowControl/>
              <w:spacing w:before="0" w:beforeAutospacing="0" w:after="0" w:afterAutospacing="0"/>
              <w:ind w:left="0" w:right="0"/>
              <w:jc w:val="left"/>
              <w:rPr>
                <w:rFonts w:hint="default"/>
                <w:b/>
                <w:bCs/>
                <w:color w:val="auto"/>
                <w:kern w:val="0"/>
                <w:szCs w:val="21"/>
              </w:rPr>
            </w:pPr>
          </w:p>
        </w:tc>
        <w:tc>
          <w:tcPr>
            <w:tcW w:w="5400" w:type="dxa"/>
            <w:gridSpan w:val="2"/>
            <w:vAlign w:val="center"/>
          </w:tcPr>
          <w:p w14:paraId="6F765ADC">
            <w:pPr>
              <w:adjustRightInd w:val="0"/>
              <w:snapToGrid w:val="0"/>
              <w:spacing w:before="0" w:beforeAutospacing="0" w:after="0" w:afterAutospacing="0"/>
              <w:ind w:left="0" w:right="0"/>
              <w:jc w:val="left"/>
              <w:rPr>
                <w:rFonts w:hint="default"/>
                <w:color w:val="auto"/>
                <w:kern w:val="0"/>
                <w:szCs w:val="21"/>
              </w:rPr>
            </w:pPr>
            <w:r>
              <w:rPr>
                <w:rFonts w:hint="default"/>
                <w:color w:val="auto"/>
                <w:kern w:val="0"/>
              </w:rPr>
              <w:t xml:space="preserve"> </w:t>
            </w:r>
            <w:r>
              <w:rPr>
                <w:rFonts w:hint="eastAsia"/>
                <w:color w:val="auto"/>
                <w:kern w:val="0"/>
              </w:rPr>
              <w:t>监测设备档案（包括设备使用说明、操作手册、维修记录、使用情况、年度自检报告等）</w:t>
            </w:r>
          </w:p>
        </w:tc>
        <w:tc>
          <w:tcPr>
            <w:tcW w:w="1080" w:type="dxa"/>
            <w:vAlign w:val="center"/>
          </w:tcPr>
          <w:p w14:paraId="7868B153">
            <w:pPr>
              <w:adjustRightInd w:val="0"/>
              <w:snapToGrid w:val="0"/>
              <w:spacing w:before="0" w:beforeAutospacing="0" w:after="0" w:afterAutospacing="0"/>
              <w:ind w:left="0" w:right="0"/>
              <w:jc w:val="center"/>
              <w:rPr>
                <w:rFonts w:hint="default" w:eastAsia="宋体"/>
                <w:color w:val="auto"/>
                <w:kern w:val="0"/>
                <w:szCs w:val="21"/>
                <w:lang w:val="en-US" w:eastAsia="zh-CN"/>
              </w:rPr>
            </w:pPr>
            <w:r>
              <w:rPr>
                <w:rFonts w:hint="eastAsia"/>
                <w:color w:val="auto"/>
                <w:kern w:val="0"/>
                <w:lang w:val="en-US" w:eastAsia="zh-CN"/>
              </w:rPr>
              <w:t>1.5</w:t>
            </w:r>
          </w:p>
        </w:tc>
        <w:tc>
          <w:tcPr>
            <w:tcW w:w="1440" w:type="dxa"/>
            <w:vAlign w:val="center"/>
          </w:tcPr>
          <w:p w14:paraId="6FE104D0">
            <w:pPr>
              <w:snapToGrid w:val="0"/>
              <w:spacing w:before="0" w:beforeAutospacing="0" w:after="0" w:afterAutospacing="0"/>
              <w:ind w:left="0" w:right="0"/>
              <w:rPr>
                <w:rFonts w:hint="default"/>
                <w:color w:val="auto"/>
                <w:szCs w:val="21"/>
              </w:rPr>
            </w:pPr>
            <w:r>
              <w:rPr>
                <w:rFonts w:hint="eastAsia"/>
                <w:color w:val="auto"/>
              </w:rPr>
              <w:t>缺一项扣</w:t>
            </w:r>
            <w:r>
              <w:rPr>
                <w:rFonts w:hint="default"/>
                <w:color w:val="auto"/>
              </w:rPr>
              <w:t>0.</w:t>
            </w:r>
            <w:r>
              <w:rPr>
                <w:rFonts w:hint="eastAsia"/>
                <w:color w:val="auto"/>
                <w:lang w:val="en-US" w:eastAsia="zh-CN"/>
              </w:rPr>
              <w:t>5</w:t>
            </w:r>
            <w:r>
              <w:rPr>
                <w:rFonts w:hint="eastAsia"/>
                <w:color w:val="auto"/>
              </w:rPr>
              <w:t>分</w:t>
            </w:r>
          </w:p>
        </w:tc>
        <w:tc>
          <w:tcPr>
            <w:tcW w:w="720" w:type="dxa"/>
            <w:vAlign w:val="center"/>
          </w:tcPr>
          <w:p w14:paraId="40014F30">
            <w:pPr>
              <w:adjustRightInd w:val="0"/>
              <w:snapToGrid w:val="0"/>
              <w:spacing w:before="0" w:beforeAutospacing="0" w:after="0" w:afterAutospacing="0"/>
              <w:ind w:left="0" w:right="0"/>
              <w:jc w:val="center"/>
              <w:rPr>
                <w:rFonts w:hint="default"/>
                <w:color w:val="auto"/>
                <w:kern w:val="0"/>
                <w:szCs w:val="21"/>
              </w:rPr>
            </w:pPr>
          </w:p>
        </w:tc>
      </w:tr>
      <w:tr w14:paraId="7283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080" w:type="dxa"/>
            <w:vAlign w:val="center"/>
          </w:tcPr>
          <w:p w14:paraId="7E2F2F7E">
            <w:pPr>
              <w:adjustRightInd w:val="0"/>
              <w:snapToGrid w:val="0"/>
              <w:spacing w:before="0" w:beforeAutospacing="0" w:after="0" w:afterAutospacing="0"/>
              <w:ind w:left="0" w:right="0"/>
              <w:jc w:val="left"/>
              <w:rPr>
                <w:rFonts w:hint="default"/>
                <w:b/>
                <w:bCs/>
                <w:color w:val="auto"/>
                <w:kern w:val="0"/>
                <w:szCs w:val="21"/>
              </w:rPr>
            </w:pPr>
            <w:r>
              <w:rPr>
                <w:rFonts w:hint="eastAsia" w:cs="Times New Roman"/>
                <w:b/>
                <w:bCs/>
                <w:color w:val="auto"/>
                <w:kern w:val="0"/>
                <w:lang w:val="en-US" w:eastAsia="zh-CN"/>
              </w:rPr>
              <w:t>4</w:t>
            </w:r>
            <w:r>
              <w:rPr>
                <w:rFonts w:hint="eastAsia" w:ascii="Times New Roman" w:hAnsi="Times New Roman" w:eastAsia="宋体" w:cs="Times New Roman"/>
                <w:b/>
                <w:bCs/>
                <w:color w:val="auto"/>
                <w:kern w:val="0"/>
                <w:lang w:val="en-US" w:eastAsia="zh-CN"/>
              </w:rPr>
              <w:t>.</w:t>
            </w:r>
            <w:r>
              <w:rPr>
                <w:rFonts w:hint="eastAsia" w:ascii="Times New Roman" w:hAnsi="Times New Roman" w:eastAsia="宋体" w:cs="Times New Roman"/>
                <w:b/>
                <w:bCs/>
                <w:color w:val="auto"/>
                <w:kern w:val="0"/>
              </w:rPr>
              <w:t>数据</w:t>
            </w:r>
            <w:r>
              <w:rPr>
                <w:rFonts w:hint="eastAsia" w:ascii="Times New Roman" w:hAnsi="Times New Roman" w:cs="Times New Roman"/>
                <w:b/>
                <w:bCs/>
                <w:color w:val="auto"/>
                <w:kern w:val="0"/>
                <w:lang w:val="en-US" w:eastAsia="zh-CN"/>
              </w:rPr>
              <w:t>入库率</w:t>
            </w:r>
            <w:r>
              <w:rPr>
                <w:rFonts w:hint="eastAsia" w:ascii="Times New Roman" w:hAnsi="Times New Roman" w:eastAsia="宋体" w:cs="Times New Roman"/>
                <w:b/>
                <w:bCs/>
                <w:color w:val="auto"/>
                <w:kern w:val="0"/>
                <w:lang w:eastAsia="zh-CN"/>
              </w:rPr>
              <w:t>（</w:t>
            </w:r>
            <w:r>
              <w:rPr>
                <w:rFonts w:hint="eastAsia" w:ascii="Times New Roman" w:hAnsi="Times New Roman" w:cs="Times New Roman"/>
                <w:b/>
                <w:bCs/>
                <w:color w:val="auto"/>
                <w:kern w:val="0"/>
                <w:lang w:val="en-US" w:eastAsia="zh-CN"/>
              </w:rPr>
              <w:t>5</w:t>
            </w:r>
            <w:r>
              <w:rPr>
                <w:rFonts w:hint="eastAsia" w:ascii="Times New Roman" w:hAnsi="Times New Roman" w:eastAsia="宋体" w:cs="Times New Roman"/>
                <w:b/>
                <w:bCs/>
                <w:color w:val="auto"/>
                <w:kern w:val="0"/>
                <w:lang w:val="en-US" w:eastAsia="zh-CN"/>
              </w:rPr>
              <w:t>0分</w:t>
            </w:r>
            <w:r>
              <w:rPr>
                <w:rFonts w:hint="eastAsia" w:ascii="Times New Roman" w:hAnsi="Times New Roman" w:eastAsia="宋体" w:cs="Times New Roman"/>
                <w:b/>
                <w:bCs/>
                <w:color w:val="auto"/>
                <w:kern w:val="0"/>
                <w:lang w:eastAsia="zh-CN"/>
              </w:rPr>
              <w:t>）</w:t>
            </w:r>
          </w:p>
        </w:tc>
        <w:tc>
          <w:tcPr>
            <w:tcW w:w="5400" w:type="dxa"/>
            <w:gridSpan w:val="2"/>
            <w:vAlign w:val="center"/>
          </w:tcPr>
          <w:p w14:paraId="02B77000">
            <w:pPr>
              <w:adjustRightInd w:val="0"/>
              <w:snapToGrid w:val="0"/>
              <w:spacing w:before="0" w:beforeAutospacing="0" w:after="0" w:afterAutospacing="0"/>
              <w:ind w:left="0" w:right="0"/>
              <w:jc w:val="left"/>
              <w:rPr>
                <w:rFonts w:hint="eastAsia" w:eastAsia="宋体"/>
                <w:color w:val="auto"/>
                <w:kern w:val="0"/>
                <w:lang w:eastAsia="zh-CN"/>
              </w:rPr>
            </w:pPr>
            <w:r>
              <w:rPr>
                <w:rFonts w:hint="eastAsia" w:ascii="Times New Roman" w:hAnsi="Times New Roman" w:cs="Times New Roman"/>
                <w:color w:val="auto"/>
                <w:kern w:val="0"/>
                <w:lang w:val="en-US" w:eastAsia="zh-CN"/>
              </w:rPr>
              <w:t>每季度</w:t>
            </w:r>
            <w:r>
              <w:rPr>
                <w:rFonts w:hint="eastAsia" w:ascii="Times New Roman" w:hAnsi="Times New Roman" w:eastAsia="宋体"/>
                <w:color w:val="auto"/>
                <w:kern w:val="0"/>
                <w:sz w:val="21"/>
                <w:szCs w:val="20"/>
                <w:lang w:val="en-US" w:eastAsia="zh-CN"/>
              </w:rPr>
              <w:t>单站直连国家实时数据和审核数据的入库率</w:t>
            </w:r>
            <w:r>
              <w:rPr>
                <w:rFonts w:hint="eastAsia" w:ascii="Times New Roman" w:hAnsi="Times New Roman" w:eastAsia="宋体" w:cs="Times New Roman"/>
                <w:color w:val="auto"/>
                <w:kern w:val="0"/>
              </w:rPr>
              <w:t>≥9</w:t>
            </w:r>
            <w:r>
              <w:rPr>
                <w:rFonts w:hint="eastAsia" w:ascii="Times New Roman" w:hAnsi="Times New Roman" w:cs="Times New Roman"/>
                <w:color w:val="auto"/>
                <w:kern w:val="0"/>
                <w:lang w:val="en-US" w:eastAsia="zh-CN"/>
              </w:rPr>
              <w:t>5</w:t>
            </w:r>
            <w:r>
              <w:rPr>
                <w:rFonts w:hint="eastAsia" w:ascii="Times New Roman" w:hAnsi="Times New Roman" w:eastAsia="宋体" w:cs="Times New Roman"/>
                <w:color w:val="auto"/>
                <w:kern w:val="0"/>
              </w:rPr>
              <w:t>%</w:t>
            </w:r>
            <w:r>
              <w:rPr>
                <w:rFonts w:hint="eastAsia" w:ascii="Times New Roman" w:hAnsi="Times New Roman" w:cs="Times New Roman"/>
                <w:color w:val="auto"/>
                <w:kern w:val="0"/>
                <w:lang w:eastAsia="zh-CN"/>
              </w:rPr>
              <w:t>，</w:t>
            </w:r>
            <w:r>
              <w:rPr>
                <w:rFonts w:hint="eastAsia" w:ascii="Times New Roman" w:hAnsi="Times New Roman" w:eastAsia="宋体"/>
                <w:color w:val="auto"/>
                <w:kern w:val="0"/>
                <w:sz w:val="21"/>
                <w:szCs w:val="20"/>
                <w:lang w:val="en-US" w:eastAsia="zh-CN"/>
              </w:rPr>
              <w:t>入库率</w:t>
            </w:r>
            <w:r>
              <w:rPr>
                <w:rFonts w:hint="eastAsia" w:ascii="Times New Roman" w:hAnsi="Times New Roman" w:cs="Times New Roman"/>
                <w:color w:val="auto"/>
                <w:kern w:val="0"/>
                <w:lang w:val="en-US" w:eastAsia="zh-CN"/>
              </w:rPr>
              <w:t>每降低1%，扣10分，扣完为止</w:t>
            </w:r>
            <w:r>
              <w:rPr>
                <w:rFonts w:hint="eastAsia" w:ascii="Times New Roman" w:hAnsi="Times New Roman" w:cs="Times New Roman"/>
                <w:color w:val="auto"/>
                <w:kern w:val="0"/>
                <w:lang w:eastAsia="zh-CN"/>
              </w:rPr>
              <w:t>。</w:t>
            </w:r>
          </w:p>
        </w:tc>
        <w:tc>
          <w:tcPr>
            <w:tcW w:w="1080" w:type="dxa"/>
            <w:vAlign w:val="center"/>
          </w:tcPr>
          <w:p w14:paraId="22C079B7">
            <w:pPr>
              <w:adjustRightInd w:val="0"/>
              <w:snapToGrid w:val="0"/>
              <w:spacing w:before="0" w:beforeAutospacing="0" w:after="0" w:afterAutospacing="0"/>
              <w:ind w:left="0" w:right="0"/>
              <w:jc w:val="center"/>
              <w:rPr>
                <w:rFonts w:hint="default"/>
                <w:color w:val="auto"/>
                <w:kern w:val="0"/>
                <w:lang w:val="en-US"/>
              </w:rPr>
            </w:pPr>
            <w:r>
              <w:rPr>
                <w:rFonts w:hint="eastAsia"/>
                <w:color w:val="auto"/>
                <w:kern w:val="0"/>
                <w:lang w:val="en-US" w:eastAsia="zh-CN"/>
              </w:rPr>
              <w:t>50</w:t>
            </w:r>
          </w:p>
        </w:tc>
        <w:tc>
          <w:tcPr>
            <w:tcW w:w="1440" w:type="dxa"/>
            <w:vAlign w:val="center"/>
          </w:tcPr>
          <w:p w14:paraId="352FCF78">
            <w:pPr>
              <w:snapToGrid w:val="0"/>
              <w:spacing w:before="0" w:beforeAutospacing="0" w:after="0" w:afterAutospacing="0"/>
              <w:ind w:left="0" w:right="0"/>
              <w:rPr>
                <w:rFonts w:hint="eastAsia"/>
                <w:color w:val="auto"/>
              </w:rPr>
            </w:pPr>
          </w:p>
        </w:tc>
        <w:tc>
          <w:tcPr>
            <w:tcW w:w="720" w:type="dxa"/>
            <w:vAlign w:val="center"/>
          </w:tcPr>
          <w:p w14:paraId="0D09DBF1">
            <w:pPr>
              <w:adjustRightInd w:val="0"/>
              <w:snapToGrid w:val="0"/>
              <w:spacing w:before="0" w:beforeAutospacing="0" w:after="0" w:afterAutospacing="0"/>
              <w:ind w:left="0" w:right="0"/>
              <w:jc w:val="center"/>
              <w:rPr>
                <w:rFonts w:hint="default"/>
                <w:color w:val="auto"/>
                <w:kern w:val="0"/>
                <w:szCs w:val="21"/>
              </w:rPr>
            </w:pPr>
          </w:p>
        </w:tc>
      </w:tr>
      <w:tr w14:paraId="0B88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532BACB">
            <w:pPr>
              <w:adjustRightInd w:val="0"/>
              <w:snapToGrid w:val="0"/>
              <w:spacing w:before="0" w:beforeAutospacing="0" w:after="0" w:afterAutospacing="0"/>
              <w:ind w:left="0" w:right="0"/>
              <w:jc w:val="left"/>
              <w:rPr>
                <w:rFonts w:hint="default"/>
                <w:b/>
                <w:bCs/>
                <w:color w:val="auto"/>
                <w:kern w:val="0"/>
                <w:szCs w:val="21"/>
              </w:rPr>
            </w:pPr>
            <w:r>
              <w:rPr>
                <w:rFonts w:hint="eastAsia"/>
                <w:b/>
                <w:bCs/>
                <w:color w:val="auto"/>
                <w:kern w:val="0"/>
                <w:lang w:val="en-US" w:eastAsia="zh-CN"/>
              </w:rPr>
              <w:t>5</w:t>
            </w:r>
            <w:r>
              <w:rPr>
                <w:rFonts w:hint="default"/>
                <w:b/>
                <w:bCs/>
                <w:color w:val="auto"/>
                <w:kern w:val="0"/>
              </w:rPr>
              <w:t xml:space="preserve">. </w:t>
            </w:r>
            <w:r>
              <w:rPr>
                <w:rFonts w:hint="eastAsia"/>
                <w:b/>
                <w:bCs/>
                <w:color w:val="auto"/>
                <w:kern w:val="0"/>
              </w:rPr>
              <w:t>数据造假</w:t>
            </w:r>
          </w:p>
        </w:tc>
        <w:tc>
          <w:tcPr>
            <w:tcW w:w="5400" w:type="dxa"/>
            <w:gridSpan w:val="2"/>
            <w:vAlign w:val="center"/>
          </w:tcPr>
          <w:p w14:paraId="2F559779">
            <w:pPr>
              <w:adjustRightInd w:val="0"/>
              <w:snapToGrid w:val="0"/>
              <w:spacing w:before="0" w:beforeAutospacing="0" w:after="0" w:afterAutospacing="0"/>
              <w:ind w:left="0" w:right="0"/>
              <w:jc w:val="left"/>
              <w:rPr>
                <w:rFonts w:hint="default"/>
                <w:color w:val="auto"/>
                <w:kern w:val="0"/>
                <w:szCs w:val="21"/>
              </w:rPr>
            </w:pPr>
            <w:r>
              <w:rPr>
                <w:rFonts w:hint="eastAsia"/>
                <w:color w:val="auto"/>
                <w:kern w:val="0"/>
              </w:rPr>
              <w:t>检查过程中如发现有数据造假情况（判定方法按照《环境监测数据弄虚作假处理办法》及实施细则）</w:t>
            </w:r>
          </w:p>
        </w:tc>
        <w:tc>
          <w:tcPr>
            <w:tcW w:w="1080" w:type="dxa"/>
            <w:vAlign w:val="center"/>
          </w:tcPr>
          <w:p w14:paraId="74CFE7DA">
            <w:pPr>
              <w:adjustRightInd w:val="0"/>
              <w:snapToGrid w:val="0"/>
              <w:spacing w:before="0" w:beforeAutospacing="0" w:after="0" w:afterAutospacing="0"/>
              <w:ind w:left="0" w:right="0"/>
              <w:jc w:val="center"/>
              <w:rPr>
                <w:rFonts w:hint="default"/>
                <w:color w:val="auto"/>
                <w:kern w:val="0"/>
                <w:szCs w:val="21"/>
              </w:rPr>
            </w:pPr>
          </w:p>
        </w:tc>
        <w:tc>
          <w:tcPr>
            <w:tcW w:w="1440" w:type="dxa"/>
            <w:vAlign w:val="center"/>
          </w:tcPr>
          <w:p w14:paraId="72E303F8">
            <w:pPr>
              <w:adjustRightInd w:val="0"/>
              <w:snapToGrid w:val="0"/>
              <w:spacing w:before="0" w:beforeAutospacing="0" w:after="0" w:afterAutospacing="0"/>
              <w:ind w:left="0" w:right="0"/>
              <w:jc w:val="center"/>
              <w:rPr>
                <w:rFonts w:hint="default"/>
                <w:color w:val="auto"/>
                <w:kern w:val="0"/>
                <w:szCs w:val="21"/>
              </w:rPr>
            </w:pPr>
            <w:r>
              <w:rPr>
                <w:rFonts w:hint="eastAsia"/>
                <w:color w:val="auto"/>
                <w:kern w:val="0"/>
              </w:rPr>
              <w:t>直接扣</w:t>
            </w:r>
            <w:r>
              <w:rPr>
                <w:rFonts w:hint="eastAsia"/>
                <w:color w:val="auto"/>
                <w:kern w:val="0"/>
                <w:lang w:val="en-US" w:eastAsia="zh-CN"/>
              </w:rPr>
              <w:t>10</w:t>
            </w:r>
            <w:r>
              <w:rPr>
                <w:rFonts w:hint="default"/>
                <w:color w:val="auto"/>
                <w:kern w:val="0"/>
              </w:rPr>
              <w:t>0</w:t>
            </w:r>
            <w:r>
              <w:rPr>
                <w:rFonts w:hint="eastAsia"/>
                <w:color w:val="auto"/>
                <w:kern w:val="0"/>
              </w:rPr>
              <w:t>分</w:t>
            </w:r>
          </w:p>
        </w:tc>
        <w:tc>
          <w:tcPr>
            <w:tcW w:w="720" w:type="dxa"/>
            <w:vAlign w:val="center"/>
          </w:tcPr>
          <w:p w14:paraId="3D9B0A91">
            <w:pPr>
              <w:adjustRightInd w:val="0"/>
              <w:snapToGrid w:val="0"/>
              <w:spacing w:before="0" w:beforeAutospacing="0" w:after="0" w:afterAutospacing="0"/>
              <w:ind w:left="0" w:right="0"/>
              <w:jc w:val="center"/>
              <w:rPr>
                <w:rFonts w:hint="default"/>
                <w:color w:val="auto"/>
                <w:kern w:val="0"/>
                <w:szCs w:val="21"/>
              </w:rPr>
            </w:pPr>
          </w:p>
        </w:tc>
      </w:tr>
      <w:tr w14:paraId="3841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080" w:type="dxa"/>
            <w:vAlign w:val="center"/>
          </w:tcPr>
          <w:p w14:paraId="05733F1E">
            <w:pPr>
              <w:adjustRightInd w:val="0"/>
              <w:snapToGrid w:val="0"/>
              <w:spacing w:before="0" w:beforeAutospacing="0" w:after="0" w:afterAutospacing="0"/>
              <w:ind w:left="0" w:right="0"/>
              <w:jc w:val="left"/>
              <w:rPr>
                <w:rFonts w:hint="default"/>
                <w:b/>
                <w:bCs/>
                <w:color w:val="auto"/>
                <w:kern w:val="0"/>
                <w:szCs w:val="21"/>
              </w:rPr>
            </w:pPr>
            <w:r>
              <w:rPr>
                <w:rFonts w:hint="eastAsia"/>
                <w:b/>
                <w:bCs/>
                <w:color w:val="auto"/>
                <w:kern w:val="0"/>
                <w:lang w:val="en-US" w:eastAsia="zh-CN"/>
              </w:rPr>
              <w:t>6</w:t>
            </w:r>
            <w:r>
              <w:rPr>
                <w:rFonts w:hint="default"/>
                <w:b/>
                <w:bCs/>
                <w:color w:val="auto"/>
                <w:kern w:val="0"/>
              </w:rPr>
              <w:t xml:space="preserve">. </w:t>
            </w:r>
            <w:r>
              <w:rPr>
                <w:rFonts w:hint="eastAsia"/>
                <w:b/>
                <w:bCs/>
                <w:color w:val="auto"/>
                <w:kern w:val="0"/>
              </w:rPr>
              <w:t>其他问题</w:t>
            </w:r>
          </w:p>
        </w:tc>
        <w:tc>
          <w:tcPr>
            <w:tcW w:w="5400" w:type="dxa"/>
            <w:gridSpan w:val="2"/>
            <w:vAlign w:val="center"/>
          </w:tcPr>
          <w:p w14:paraId="6C661DFA">
            <w:pPr>
              <w:adjustRightInd w:val="0"/>
              <w:snapToGrid w:val="0"/>
              <w:spacing w:before="0" w:beforeAutospacing="0" w:after="0" w:afterAutospacing="0"/>
              <w:ind w:left="0" w:right="0"/>
              <w:jc w:val="left"/>
              <w:rPr>
                <w:rFonts w:hint="default"/>
                <w:color w:val="auto"/>
                <w:kern w:val="0"/>
                <w:szCs w:val="21"/>
              </w:rPr>
            </w:pPr>
          </w:p>
          <w:p w14:paraId="52BB9E54">
            <w:pPr>
              <w:adjustRightInd w:val="0"/>
              <w:snapToGrid w:val="0"/>
              <w:spacing w:before="0" w:beforeAutospacing="0" w:after="0" w:afterAutospacing="0"/>
              <w:ind w:left="0" w:right="0"/>
              <w:jc w:val="left"/>
              <w:rPr>
                <w:rFonts w:hint="default"/>
                <w:color w:val="auto"/>
                <w:kern w:val="0"/>
                <w:szCs w:val="21"/>
              </w:rPr>
            </w:pPr>
            <w:r>
              <w:rPr>
                <w:rFonts w:hint="eastAsia" w:ascii="Calibri" w:eastAsia="宋体"/>
                <w:color w:val="auto"/>
                <w:kern w:val="0"/>
                <w:sz w:val="21"/>
                <w:szCs w:val="20"/>
              </w:rPr>
              <w:t>迟报、漏报或不报审核数据的；拖延、阻碍、拒绝质量检查或飞行检查的；发现采样、分析、数据采集和传输等过程人为干扰，未按要求及时向</w:t>
            </w:r>
            <w:r>
              <w:rPr>
                <w:rFonts w:hint="eastAsia" w:ascii="Calibri" w:eastAsia="宋体"/>
                <w:color w:val="auto"/>
                <w:kern w:val="0"/>
                <w:sz w:val="21"/>
                <w:szCs w:val="20"/>
                <w:lang w:val="en-US" w:eastAsia="zh-CN"/>
              </w:rPr>
              <w:t>北海</w:t>
            </w:r>
            <w:r>
              <w:rPr>
                <w:rFonts w:hint="eastAsia" w:ascii="Calibri" w:eastAsia="宋体"/>
                <w:color w:val="auto"/>
                <w:kern w:val="0"/>
                <w:sz w:val="21"/>
                <w:szCs w:val="20"/>
              </w:rPr>
              <w:t>中心报告的；因工作疏漏，未发现采样、分析、数据采集和传输等过程人为干扰的；其他不履行规定职责的情形。</w:t>
            </w:r>
          </w:p>
        </w:tc>
        <w:tc>
          <w:tcPr>
            <w:tcW w:w="1080" w:type="dxa"/>
            <w:vAlign w:val="center"/>
          </w:tcPr>
          <w:p w14:paraId="39ECD2B4">
            <w:pPr>
              <w:adjustRightInd w:val="0"/>
              <w:snapToGrid w:val="0"/>
              <w:spacing w:before="0" w:beforeAutospacing="0" w:after="0" w:afterAutospacing="0"/>
              <w:ind w:left="0" w:right="0"/>
              <w:jc w:val="center"/>
              <w:rPr>
                <w:rFonts w:hint="default" w:eastAsia="宋体"/>
                <w:color w:val="auto"/>
                <w:kern w:val="0"/>
                <w:szCs w:val="21"/>
                <w:lang w:val="en-US" w:eastAsia="zh-CN"/>
              </w:rPr>
            </w:pPr>
          </w:p>
        </w:tc>
        <w:tc>
          <w:tcPr>
            <w:tcW w:w="1440" w:type="dxa"/>
            <w:vAlign w:val="center"/>
          </w:tcPr>
          <w:p w14:paraId="78DBA1BF">
            <w:pPr>
              <w:adjustRightInd w:val="0"/>
              <w:snapToGrid w:val="0"/>
              <w:spacing w:before="0" w:beforeAutospacing="0" w:after="0" w:afterAutospacing="0"/>
              <w:ind w:left="0" w:right="0"/>
              <w:jc w:val="center"/>
              <w:rPr>
                <w:rFonts w:hint="default"/>
                <w:color w:val="auto"/>
                <w:kern w:val="0"/>
                <w:szCs w:val="21"/>
              </w:rPr>
            </w:pPr>
          </w:p>
        </w:tc>
        <w:tc>
          <w:tcPr>
            <w:tcW w:w="720" w:type="dxa"/>
            <w:vAlign w:val="center"/>
          </w:tcPr>
          <w:p w14:paraId="517268EC">
            <w:pPr>
              <w:adjustRightInd w:val="0"/>
              <w:snapToGrid w:val="0"/>
              <w:spacing w:before="0" w:beforeAutospacing="0" w:after="0" w:afterAutospacing="0"/>
              <w:ind w:left="0" w:right="0"/>
              <w:jc w:val="center"/>
              <w:rPr>
                <w:rFonts w:hint="default"/>
                <w:color w:val="auto"/>
                <w:kern w:val="0"/>
                <w:szCs w:val="21"/>
              </w:rPr>
            </w:pPr>
          </w:p>
        </w:tc>
      </w:tr>
      <w:tr w14:paraId="5E4B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480" w:type="dxa"/>
            <w:gridSpan w:val="3"/>
            <w:vAlign w:val="center"/>
          </w:tcPr>
          <w:p w14:paraId="40096DD0">
            <w:pPr>
              <w:adjustRightInd w:val="0"/>
              <w:snapToGrid w:val="0"/>
              <w:spacing w:before="0" w:beforeAutospacing="0" w:after="0" w:afterAutospacing="0"/>
              <w:ind w:left="0" w:right="0"/>
              <w:jc w:val="center"/>
              <w:rPr>
                <w:rFonts w:hint="eastAsia"/>
                <w:color w:val="auto"/>
                <w:kern w:val="0"/>
              </w:rPr>
            </w:pPr>
            <w:r>
              <w:rPr>
                <w:rFonts w:hint="eastAsia"/>
                <w:color w:val="auto"/>
                <w:kern w:val="0"/>
              </w:rPr>
              <w:t>总分</w:t>
            </w:r>
          </w:p>
        </w:tc>
        <w:tc>
          <w:tcPr>
            <w:tcW w:w="1080" w:type="dxa"/>
            <w:vAlign w:val="center"/>
          </w:tcPr>
          <w:p w14:paraId="2ADF746E">
            <w:pPr>
              <w:adjustRightInd w:val="0"/>
              <w:snapToGrid w:val="0"/>
              <w:spacing w:before="0" w:beforeAutospacing="0" w:after="0" w:afterAutospacing="0"/>
              <w:ind w:left="0" w:right="0"/>
              <w:jc w:val="center"/>
              <w:rPr>
                <w:rFonts w:hint="default" w:eastAsia="宋体"/>
                <w:color w:val="auto"/>
                <w:kern w:val="0"/>
                <w:lang w:val="en-US" w:eastAsia="zh-CN"/>
              </w:rPr>
            </w:pPr>
            <w:r>
              <w:rPr>
                <w:rFonts w:hint="eastAsia"/>
                <w:color w:val="auto"/>
                <w:kern w:val="0"/>
                <w:lang w:val="en-US" w:eastAsia="zh-CN"/>
              </w:rPr>
              <w:t>100</w:t>
            </w:r>
          </w:p>
        </w:tc>
        <w:tc>
          <w:tcPr>
            <w:tcW w:w="1440" w:type="dxa"/>
            <w:vAlign w:val="center"/>
          </w:tcPr>
          <w:p w14:paraId="4633948F">
            <w:pPr>
              <w:adjustRightInd w:val="0"/>
              <w:snapToGrid w:val="0"/>
              <w:spacing w:before="0" w:beforeAutospacing="0" w:after="0" w:afterAutospacing="0"/>
              <w:ind w:left="0" w:right="0"/>
              <w:jc w:val="center"/>
              <w:rPr>
                <w:rFonts w:hint="default"/>
                <w:color w:val="auto"/>
                <w:kern w:val="0"/>
                <w:szCs w:val="21"/>
              </w:rPr>
            </w:pPr>
          </w:p>
        </w:tc>
        <w:tc>
          <w:tcPr>
            <w:tcW w:w="720" w:type="dxa"/>
            <w:vAlign w:val="center"/>
          </w:tcPr>
          <w:p w14:paraId="5B59A429">
            <w:pPr>
              <w:adjustRightInd w:val="0"/>
              <w:snapToGrid w:val="0"/>
              <w:spacing w:before="0" w:beforeAutospacing="0" w:after="0" w:afterAutospacing="0"/>
              <w:ind w:left="0" w:right="0"/>
              <w:jc w:val="center"/>
              <w:rPr>
                <w:rFonts w:hint="default"/>
                <w:color w:val="auto"/>
                <w:kern w:val="0"/>
                <w:szCs w:val="21"/>
              </w:rPr>
            </w:pPr>
          </w:p>
        </w:tc>
      </w:tr>
    </w:tbl>
    <w:p w14:paraId="588474B3">
      <w:pPr>
        <w:pStyle w:val="11"/>
        <w:adjustRightInd w:val="0"/>
        <w:snapToGrid w:val="0"/>
        <w:rPr>
          <w:color w:val="auto"/>
        </w:rPr>
      </w:pPr>
      <w:r>
        <w:rPr>
          <w:rFonts w:hint="eastAsia" w:ascii="宋体" w:hAnsi="宋体"/>
          <w:b/>
          <w:bCs/>
          <w:color w:val="auto"/>
        </w:rPr>
        <w:t>注：</w:t>
      </w:r>
      <w:r>
        <w:rPr>
          <w:color w:val="auto"/>
        </w:rPr>
        <w:t>1.</w:t>
      </w:r>
      <w:r>
        <w:rPr>
          <w:rFonts w:hint="eastAsia" w:ascii="宋体" w:hAnsi="宋体"/>
          <w:color w:val="auto"/>
        </w:rPr>
        <w:t>《规范》：</w:t>
      </w:r>
      <w:r>
        <w:rPr>
          <w:rFonts w:hint="eastAsia"/>
          <w:color w:val="auto"/>
        </w:rPr>
        <w:t>《环境空气非甲烷总烃连续自动监测技术规定（试行）》（总站气字</w:t>
      </w:r>
      <w:r>
        <w:rPr>
          <w:rFonts w:hint="eastAsia" w:ascii="宋体" w:hAnsi="宋体"/>
          <w:color w:val="auto"/>
        </w:rPr>
        <w:t>〔2021〕61号）等；</w:t>
      </w:r>
      <w:r>
        <w:rPr>
          <w:color w:val="auto"/>
        </w:rPr>
        <w:t>2.</w:t>
      </w:r>
      <w:r>
        <w:rPr>
          <w:rFonts w:hint="eastAsia" w:ascii="宋体" w:hAnsi="宋体"/>
          <w:color w:val="auto"/>
        </w:rPr>
        <w:t>《标准》：指《环境空气质量标准》（</w:t>
      </w:r>
      <w:r>
        <w:rPr>
          <w:color w:val="auto"/>
        </w:rPr>
        <w:t>GB3095-2012</w:t>
      </w:r>
      <w:r>
        <w:rPr>
          <w:rFonts w:hint="eastAsia" w:ascii="宋体" w:hAnsi="宋体"/>
          <w:color w:val="auto"/>
        </w:rPr>
        <w:t>）。</w:t>
      </w:r>
    </w:p>
    <w:p w14:paraId="23738940">
      <w:pPr>
        <w:pStyle w:val="11"/>
        <w:adjustRightInd w:val="0"/>
        <w:snapToGrid w:val="0"/>
        <w:spacing w:line="360" w:lineRule="auto"/>
        <w:ind w:firstLine="331" w:firstLineChars="150"/>
        <w:rPr>
          <w:b/>
          <w:bCs/>
          <w:color w:val="auto"/>
        </w:rPr>
      </w:pPr>
      <w:r>
        <w:rPr>
          <w:b/>
          <w:bCs/>
          <w:color w:val="auto"/>
        </w:rPr>
        <w:t xml:space="preserve"> </w:t>
      </w:r>
    </w:p>
    <w:p w14:paraId="2E1DE173">
      <w:pPr>
        <w:rPr>
          <w:rFonts w:hint="eastAsia" w:ascii="宋体" w:hAnsi="宋体"/>
          <w:b/>
          <w:bCs/>
          <w:color w:val="auto"/>
        </w:rPr>
      </w:pPr>
    </w:p>
    <w:p w14:paraId="5E6B178E">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b/>
          <w:bCs/>
          <w:color w:val="auto"/>
        </w:rPr>
      </w:pPr>
    </w:p>
    <w:p w14:paraId="537D2BF7">
      <w:pPr>
        <w:keepNext w:val="0"/>
        <w:keepLines w:val="0"/>
        <w:pageBreakBefore w:val="0"/>
        <w:widowControl w:val="0"/>
        <w:kinsoku/>
        <w:wordWrap/>
        <w:overflowPunct/>
        <w:topLinePunct w:val="0"/>
        <w:autoSpaceDE/>
        <w:autoSpaceDN/>
        <w:bidi w:val="0"/>
        <w:adjustRightInd/>
        <w:snapToGrid/>
        <w:spacing w:line="400" w:lineRule="atLeast"/>
        <w:textAlignment w:val="auto"/>
        <w:rPr>
          <w:color w:val="auto"/>
          <w:u w:val="single"/>
        </w:rPr>
      </w:pPr>
      <w:r>
        <w:rPr>
          <w:rFonts w:hint="eastAsia" w:ascii="宋体" w:hAnsi="宋体"/>
          <w:b/>
          <w:bCs/>
          <w:color w:val="auto"/>
        </w:rPr>
        <w:t>检查日期</w:t>
      </w:r>
      <w:r>
        <w:rPr>
          <w:rFonts w:hint="eastAsia" w:ascii="宋体" w:hAnsi="宋体"/>
          <w:color w:val="auto"/>
        </w:rPr>
        <w:t>：</w:t>
      </w:r>
      <w:r>
        <w:rPr>
          <w:color w:val="auto"/>
          <w:u w:val="single"/>
        </w:rPr>
        <w:t xml:space="preserve">                 </w:t>
      </w:r>
      <w:r>
        <w:rPr>
          <w:color w:val="auto"/>
        </w:rPr>
        <w:t xml:space="preserve">                       </w:t>
      </w:r>
      <w:r>
        <w:rPr>
          <w:rFonts w:hint="eastAsia" w:ascii="宋体" w:hAnsi="宋体"/>
          <w:b/>
          <w:bCs/>
          <w:color w:val="auto"/>
        </w:rPr>
        <w:t>检查人员</w:t>
      </w:r>
      <w:r>
        <w:rPr>
          <w:rFonts w:hint="eastAsia" w:ascii="宋体" w:hAnsi="宋体"/>
          <w:color w:val="auto"/>
        </w:rPr>
        <w:t>：</w:t>
      </w:r>
      <w:r>
        <w:rPr>
          <w:color w:val="auto"/>
          <w:u w:val="single"/>
        </w:rPr>
        <w:t xml:space="preserve">                         </w:t>
      </w:r>
    </w:p>
    <w:p w14:paraId="5612A3F8">
      <w:pPr>
        <w:keepNext w:val="0"/>
        <w:keepLines w:val="0"/>
        <w:pageBreakBefore w:val="0"/>
        <w:widowControl w:val="0"/>
        <w:kinsoku/>
        <w:wordWrap/>
        <w:overflowPunct/>
        <w:topLinePunct w:val="0"/>
        <w:autoSpaceDE/>
        <w:autoSpaceDN/>
        <w:bidi w:val="0"/>
        <w:adjustRightInd/>
        <w:snapToGrid/>
        <w:spacing w:line="400" w:lineRule="atLeast"/>
        <w:textAlignment w:val="auto"/>
        <w:rPr>
          <w:b/>
          <w:color w:val="auto"/>
        </w:rPr>
      </w:pPr>
      <w:r>
        <w:rPr>
          <w:color w:val="auto"/>
        </w:rPr>
        <w:t xml:space="preserve">                                                 </w:t>
      </w:r>
      <w:r>
        <w:rPr>
          <w:b/>
          <w:color w:val="auto"/>
        </w:rPr>
        <w:t xml:space="preserve"> </w:t>
      </w:r>
      <w:r>
        <w:rPr>
          <w:rFonts w:hint="eastAsia"/>
          <w:b/>
          <w:color w:val="auto"/>
        </w:rPr>
        <w:t>运维人员：</w:t>
      </w:r>
      <w:r>
        <w:rPr>
          <w:color w:val="auto"/>
          <w:u w:val="single"/>
        </w:rPr>
        <w:t xml:space="preserve">     </w:t>
      </w:r>
      <w:r>
        <w:rPr>
          <w:rFonts w:hint="eastAsia"/>
          <w:color w:val="auto"/>
          <w:u w:val="single"/>
          <w:lang w:val="en-US" w:eastAsia="zh-CN"/>
        </w:rPr>
        <w:t xml:space="preserve">  </w:t>
      </w:r>
      <w:r>
        <w:rPr>
          <w:color w:val="auto"/>
          <w:u w:val="single"/>
        </w:rPr>
        <w:t xml:space="preserve">                  </w:t>
      </w:r>
    </w:p>
    <w:p w14:paraId="4B27D77D">
      <w:pPr>
        <w:bidi w:val="0"/>
        <w:rPr>
          <w:rFonts w:hint="eastAsia"/>
          <w:color w:val="auto"/>
          <w:lang w:val="en-US" w:eastAsia="zh-CN"/>
        </w:rPr>
        <w:sectPr>
          <w:footerReference r:id="rId5" w:type="first"/>
          <w:footerReference r:id="rId3" w:type="default"/>
          <w:footerReference r:id="rId4" w:type="even"/>
          <w:pgSz w:w="11910" w:h="16840"/>
          <w:pgMar w:top="1162" w:right="1162" w:bottom="1162" w:left="1162" w:header="768" w:footer="624" w:gutter="0"/>
          <w:pgNumType w:fmt="decimal" w:start="1"/>
          <w:cols w:space="720" w:num="1"/>
          <w:titlePg/>
        </w:sectPr>
      </w:pPr>
    </w:p>
    <w:p w14:paraId="2645A660">
      <w:pPr>
        <w:tabs>
          <w:tab w:val="left" w:pos="2280"/>
        </w:tabs>
        <w:spacing w:line="360" w:lineRule="auto"/>
        <w:ind w:right="45"/>
        <w:contextualSpacing/>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附表3</w:t>
      </w:r>
    </w:p>
    <w:p w14:paraId="31A7FDE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广西壮族自治区北海生态环境监测中心</w:t>
      </w:r>
    </w:p>
    <w:p w14:paraId="4F8371A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大气降水自动监测站设备运行维护</w:t>
      </w:r>
      <w:r>
        <w:rPr>
          <w:rFonts w:hint="eastAsia" w:ascii="方正小标宋简体" w:hAnsi="方正小标宋简体" w:eastAsia="方正小标宋简体" w:cs="方正小标宋简体"/>
          <w:color w:val="auto"/>
          <w:sz w:val="44"/>
          <w:szCs w:val="44"/>
          <w:lang w:val="en-US" w:eastAsia="zh-CN"/>
        </w:rPr>
        <w:t>季度</w:t>
      </w:r>
      <w:r>
        <w:rPr>
          <w:rFonts w:hint="eastAsia" w:ascii="方正小标宋简体" w:hAnsi="方正小标宋简体" w:eastAsia="方正小标宋简体" w:cs="方正小标宋简体"/>
          <w:color w:val="auto"/>
          <w:sz w:val="44"/>
          <w:szCs w:val="44"/>
        </w:rPr>
        <w:t>考核评分表</w:t>
      </w:r>
    </w:p>
    <w:p w14:paraId="2F4D2085">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u w:val="none"/>
          <w:lang w:val="en-US" w:eastAsia="zh-CN" w:bidi="ar"/>
        </w:rPr>
      </w:pPr>
    </w:p>
    <w:p w14:paraId="74E5DDBB">
      <w:pPr>
        <w:keepNext w:val="0"/>
        <w:keepLines w:val="0"/>
        <w:widowControl/>
        <w:suppressLineNumbers w:val="0"/>
        <w:jc w:val="left"/>
        <w:textAlignment w:val="center"/>
        <w:rPr>
          <w:rFonts w:hint="default"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考核时段：第  季度（    年  月  日-   年  月  日）</w:t>
      </w:r>
    </w:p>
    <w:tbl>
      <w:tblPr>
        <w:tblStyle w:val="7"/>
        <w:tblW w:w="13525"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58"/>
        <w:gridCol w:w="9659"/>
        <w:gridCol w:w="609"/>
        <w:gridCol w:w="619"/>
        <w:gridCol w:w="1007"/>
      </w:tblGrid>
      <w:tr w14:paraId="1EC3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4300C1F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b/>
                <w:bCs/>
                <w:i w:val="0"/>
                <w:iCs w:val="0"/>
                <w:color w:val="auto"/>
                <w:kern w:val="0"/>
                <w:sz w:val="22"/>
                <w:szCs w:val="22"/>
                <w:u w:val="none"/>
                <w:lang w:val="en-US" w:eastAsia="zh-CN" w:bidi="ar"/>
              </w:rPr>
              <w:t>序号</w:t>
            </w:r>
          </w:p>
        </w:tc>
        <w:tc>
          <w:tcPr>
            <w:tcW w:w="10817" w:type="dxa"/>
            <w:gridSpan w:val="2"/>
            <w:noWrap w:val="0"/>
            <w:vAlign w:val="center"/>
          </w:tcPr>
          <w:p w14:paraId="210D346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b/>
                <w:bCs/>
                <w:i w:val="0"/>
                <w:iCs w:val="0"/>
                <w:color w:val="auto"/>
                <w:kern w:val="0"/>
                <w:sz w:val="22"/>
                <w:szCs w:val="22"/>
                <w:u w:val="none"/>
                <w:lang w:val="en-US" w:eastAsia="zh-CN" w:bidi="ar"/>
              </w:rPr>
              <w:t>考  核  内  容</w:t>
            </w:r>
          </w:p>
        </w:tc>
        <w:tc>
          <w:tcPr>
            <w:tcW w:w="609" w:type="dxa"/>
            <w:noWrap w:val="0"/>
            <w:vAlign w:val="center"/>
          </w:tcPr>
          <w:p w14:paraId="11C8598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b/>
                <w:bCs/>
                <w:i w:val="0"/>
                <w:iCs w:val="0"/>
                <w:color w:val="auto"/>
                <w:kern w:val="0"/>
                <w:sz w:val="22"/>
                <w:szCs w:val="22"/>
                <w:u w:val="none"/>
                <w:lang w:val="en-US" w:eastAsia="zh-CN" w:bidi="ar"/>
              </w:rPr>
              <w:t>分值</w:t>
            </w:r>
          </w:p>
        </w:tc>
        <w:tc>
          <w:tcPr>
            <w:tcW w:w="619" w:type="dxa"/>
            <w:noWrap w:val="0"/>
            <w:vAlign w:val="center"/>
          </w:tcPr>
          <w:p w14:paraId="3FB45ED1">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b/>
                <w:bCs/>
                <w:i w:val="0"/>
                <w:iCs w:val="0"/>
                <w:color w:val="auto"/>
                <w:kern w:val="0"/>
                <w:sz w:val="22"/>
                <w:szCs w:val="22"/>
                <w:u w:val="none"/>
                <w:lang w:val="en-US" w:eastAsia="zh-CN" w:bidi="ar"/>
              </w:rPr>
            </w:pPr>
            <w:r>
              <w:rPr>
                <w:rFonts w:hint="eastAsia" w:ascii="仿宋_GB2312" w:hAnsi="等线" w:eastAsia="仿宋_GB2312" w:cs="仿宋_GB2312"/>
                <w:b/>
                <w:bCs/>
                <w:i w:val="0"/>
                <w:iCs w:val="0"/>
                <w:color w:val="auto"/>
                <w:kern w:val="0"/>
                <w:sz w:val="22"/>
                <w:szCs w:val="22"/>
                <w:u w:val="none"/>
                <w:lang w:val="en-US" w:eastAsia="zh-CN" w:bidi="ar"/>
              </w:rPr>
              <w:t>评</w:t>
            </w:r>
          </w:p>
          <w:p w14:paraId="39C2D493">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b/>
                <w:bCs/>
                <w:i w:val="0"/>
                <w:iCs w:val="0"/>
                <w:color w:val="auto"/>
                <w:kern w:val="0"/>
                <w:sz w:val="22"/>
                <w:szCs w:val="22"/>
                <w:u w:val="none"/>
                <w:lang w:val="en-US" w:eastAsia="zh-CN" w:bidi="ar"/>
              </w:rPr>
            </w:pPr>
            <w:r>
              <w:rPr>
                <w:rFonts w:hint="eastAsia" w:ascii="仿宋_GB2312" w:hAnsi="等线" w:eastAsia="仿宋_GB2312" w:cs="仿宋_GB2312"/>
                <w:b/>
                <w:bCs/>
                <w:i w:val="0"/>
                <w:iCs w:val="0"/>
                <w:color w:val="auto"/>
                <w:kern w:val="0"/>
                <w:sz w:val="22"/>
                <w:szCs w:val="22"/>
                <w:u w:val="none"/>
                <w:lang w:val="en-US" w:eastAsia="zh-CN" w:bidi="ar"/>
              </w:rPr>
              <w:t>分</w:t>
            </w:r>
          </w:p>
        </w:tc>
        <w:tc>
          <w:tcPr>
            <w:tcW w:w="1007" w:type="dxa"/>
            <w:noWrap w:val="0"/>
            <w:vAlign w:val="center"/>
          </w:tcPr>
          <w:p w14:paraId="22DA8C9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b/>
                <w:bCs/>
                <w:i w:val="0"/>
                <w:iCs w:val="0"/>
                <w:color w:val="auto"/>
                <w:kern w:val="0"/>
                <w:sz w:val="22"/>
                <w:szCs w:val="22"/>
                <w:u w:val="none"/>
                <w:lang w:val="en-US" w:eastAsia="zh-CN" w:bidi="ar"/>
              </w:rPr>
              <w:t>备注</w:t>
            </w:r>
          </w:p>
        </w:tc>
      </w:tr>
      <w:tr w14:paraId="1A8E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23E351A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1</w:t>
            </w:r>
          </w:p>
        </w:tc>
        <w:tc>
          <w:tcPr>
            <w:tcW w:w="1158" w:type="dxa"/>
            <w:vMerge w:val="restart"/>
            <w:noWrap w:val="0"/>
            <w:vAlign w:val="center"/>
          </w:tcPr>
          <w:p w14:paraId="60616B1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b/>
                <w:bCs/>
                <w:i w:val="0"/>
                <w:iCs w:val="0"/>
                <w:color w:val="auto"/>
                <w:kern w:val="0"/>
                <w:sz w:val="22"/>
                <w:szCs w:val="22"/>
                <w:u w:val="none"/>
                <w:lang w:val="en-US" w:eastAsia="zh-CN" w:bidi="ar"/>
              </w:rPr>
              <w:t>日常运维</w:t>
            </w:r>
            <w:r>
              <w:rPr>
                <w:rFonts w:hint="eastAsia" w:ascii="仿宋_GB2312" w:hAnsi="等线" w:eastAsia="仿宋_GB2312" w:cs="仿宋_GB2312"/>
                <w:b/>
                <w:bCs/>
                <w:i w:val="0"/>
                <w:iCs w:val="0"/>
                <w:color w:val="auto"/>
                <w:kern w:val="0"/>
                <w:sz w:val="22"/>
                <w:szCs w:val="22"/>
                <w:u w:val="none"/>
                <w:lang w:val="en-US" w:eastAsia="zh-CN" w:bidi="ar"/>
              </w:rPr>
              <w:br w:type="textWrapping"/>
            </w:r>
            <w:r>
              <w:rPr>
                <w:rFonts w:hint="eastAsia" w:ascii="仿宋_GB2312" w:hAnsi="等线" w:eastAsia="仿宋_GB2312" w:cs="仿宋_GB2312"/>
                <w:b/>
                <w:bCs/>
                <w:i w:val="0"/>
                <w:iCs w:val="0"/>
                <w:color w:val="auto"/>
                <w:kern w:val="0"/>
                <w:sz w:val="22"/>
                <w:szCs w:val="22"/>
                <w:u w:val="none"/>
                <w:lang w:val="en-US" w:eastAsia="zh-CN" w:bidi="ar"/>
              </w:rPr>
              <w:t>质量控制</w:t>
            </w:r>
          </w:p>
        </w:tc>
        <w:tc>
          <w:tcPr>
            <w:tcW w:w="9659" w:type="dxa"/>
            <w:noWrap w:val="0"/>
            <w:vAlign w:val="center"/>
          </w:tcPr>
          <w:p w14:paraId="3EDCBF8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按照《酸沉降监测技术规范》（HJ/T165-2004）要求清洗采样瓶，晾干备用；准备冷藏箱、样品标签（标签内容按照广西壮族自治区北海生态环境监测中心的要求填写）；放置洗涤干净的仪器收集瓶，恢复原始瓶数量。未按规范操作的，视情况扣0-2分，扣完为止。</w:t>
            </w:r>
          </w:p>
        </w:tc>
        <w:tc>
          <w:tcPr>
            <w:tcW w:w="609" w:type="dxa"/>
            <w:noWrap w:val="0"/>
            <w:vAlign w:val="center"/>
          </w:tcPr>
          <w:p w14:paraId="495BB3A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2</w:t>
            </w:r>
          </w:p>
        </w:tc>
        <w:tc>
          <w:tcPr>
            <w:tcW w:w="619" w:type="dxa"/>
            <w:noWrap w:val="0"/>
            <w:vAlign w:val="center"/>
          </w:tcPr>
          <w:p w14:paraId="56A0F505">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6B08BFC2">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73E5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704B3F4E">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2</w:t>
            </w:r>
          </w:p>
        </w:tc>
        <w:tc>
          <w:tcPr>
            <w:tcW w:w="1158" w:type="dxa"/>
            <w:vMerge w:val="continue"/>
            <w:noWrap w:val="0"/>
            <w:vAlign w:val="top"/>
          </w:tcPr>
          <w:p w14:paraId="7494CD07">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3D28CF3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瑞士DIGITEL仪器自动换瓶后，无论是否收集到样品，都需要清洗采样瓶。未按要求操作的，视情况扣0-2分，扣完为止。</w:t>
            </w:r>
          </w:p>
        </w:tc>
        <w:tc>
          <w:tcPr>
            <w:tcW w:w="609" w:type="dxa"/>
            <w:noWrap w:val="0"/>
            <w:vAlign w:val="center"/>
          </w:tcPr>
          <w:p w14:paraId="03D077E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2</w:t>
            </w:r>
          </w:p>
        </w:tc>
        <w:tc>
          <w:tcPr>
            <w:tcW w:w="619" w:type="dxa"/>
            <w:noWrap w:val="0"/>
            <w:vAlign w:val="center"/>
          </w:tcPr>
          <w:p w14:paraId="08013EA1">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008EA987">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4003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7776727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3</w:t>
            </w:r>
          </w:p>
        </w:tc>
        <w:tc>
          <w:tcPr>
            <w:tcW w:w="1158" w:type="dxa"/>
            <w:vMerge w:val="continue"/>
            <w:noWrap w:val="0"/>
            <w:vAlign w:val="top"/>
          </w:tcPr>
          <w:p w14:paraId="75B3E4A0">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75EEB76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雨季（5-10月）至少每10天进行1次在线设备pH和EC常规校准维护，非雨季（11-4月）至少每两周进行1次在线设备pH和EC常规校准维护，每次校准记录需及时上传到广西壮族自治区酸雨监测质量控制系统，拍摄现场维护校准照片和规范填写校准记录质版表格，交给广西壮族自治区北海生态环境监测中心备案。未按要求开展校准0分，每个站点每缺少一次校准扣1分，扣完为止。</w:t>
            </w:r>
          </w:p>
        </w:tc>
        <w:tc>
          <w:tcPr>
            <w:tcW w:w="609" w:type="dxa"/>
            <w:noWrap w:val="0"/>
            <w:vAlign w:val="center"/>
          </w:tcPr>
          <w:p w14:paraId="708AFBA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6</w:t>
            </w:r>
          </w:p>
        </w:tc>
        <w:tc>
          <w:tcPr>
            <w:tcW w:w="619" w:type="dxa"/>
            <w:noWrap w:val="0"/>
            <w:vAlign w:val="center"/>
          </w:tcPr>
          <w:p w14:paraId="670C31F7">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5E94F5B4">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3B62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6690E8E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4</w:t>
            </w:r>
          </w:p>
        </w:tc>
        <w:tc>
          <w:tcPr>
            <w:tcW w:w="1158" w:type="dxa"/>
            <w:vMerge w:val="continue"/>
            <w:noWrap w:val="0"/>
            <w:vAlign w:val="top"/>
          </w:tcPr>
          <w:p w14:paraId="2C074ED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24994A9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每月至少采集一次样品运输空白，空白分析结果应与分析去离子水相同，否则，按要求开展影响因素排查。未开展运输空白采集0分，每个站点每缺少一次运输空白扣1分，扣完为止。</w:t>
            </w:r>
          </w:p>
        </w:tc>
        <w:tc>
          <w:tcPr>
            <w:tcW w:w="609" w:type="dxa"/>
            <w:noWrap w:val="0"/>
            <w:vAlign w:val="center"/>
          </w:tcPr>
          <w:p w14:paraId="7A94025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3</w:t>
            </w:r>
          </w:p>
        </w:tc>
        <w:tc>
          <w:tcPr>
            <w:tcW w:w="619" w:type="dxa"/>
            <w:noWrap w:val="0"/>
            <w:vAlign w:val="center"/>
          </w:tcPr>
          <w:p w14:paraId="7834935E">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0FD95388">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4C43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461BB81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5</w:t>
            </w:r>
          </w:p>
        </w:tc>
        <w:tc>
          <w:tcPr>
            <w:tcW w:w="1158" w:type="dxa"/>
            <w:vMerge w:val="continue"/>
            <w:noWrap w:val="0"/>
            <w:vAlign w:val="top"/>
          </w:tcPr>
          <w:p w14:paraId="6412D11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3225EC1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按照广西壮族自治区北海生态环境监测中心计划配合完成每个站点的pH值、电导率现场比对工作。未按要求配合比对的，一次扣完4分，比对结果不合格的，按照一项指标一次扣1分，扣完为止。</w:t>
            </w:r>
          </w:p>
        </w:tc>
        <w:tc>
          <w:tcPr>
            <w:tcW w:w="609" w:type="dxa"/>
            <w:noWrap w:val="0"/>
            <w:vAlign w:val="center"/>
          </w:tcPr>
          <w:p w14:paraId="482FB31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4</w:t>
            </w:r>
          </w:p>
        </w:tc>
        <w:tc>
          <w:tcPr>
            <w:tcW w:w="619" w:type="dxa"/>
            <w:noWrap w:val="0"/>
            <w:vAlign w:val="center"/>
          </w:tcPr>
          <w:p w14:paraId="101C4B6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2D281AAB">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48EC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5DEAE97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6</w:t>
            </w:r>
          </w:p>
        </w:tc>
        <w:tc>
          <w:tcPr>
            <w:tcW w:w="1158" w:type="dxa"/>
            <w:vMerge w:val="continue"/>
            <w:noWrap w:val="0"/>
            <w:vAlign w:val="top"/>
          </w:tcPr>
          <w:p w14:paraId="01E29401">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4131581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按照广西壮族自治区北海生态环境监测中心计划完成标准样品的测试，分析结果需合格。如测试结果不合格，按一个站点一个指标一次扣1分，扣完为止；未开展测试0分。</w:t>
            </w:r>
          </w:p>
        </w:tc>
        <w:tc>
          <w:tcPr>
            <w:tcW w:w="609" w:type="dxa"/>
            <w:noWrap w:val="0"/>
            <w:vAlign w:val="center"/>
          </w:tcPr>
          <w:p w14:paraId="2EE89A9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3</w:t>
            </w:r>
          </w:p>
        </w:tc>
        <w:tc>
          <w:tcPr>
            <w:tcW w:w="619" w:type="dxa"/>
            <w:noWrap w:val="0"/>
            <w:vAlign w:val="center"/>
          </w:tcPr>
          <w:p w14:paraId="56B8BF5B">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53E76DFC">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16D8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6CF3D64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7</w:t>
            </w:r>
          </w:p>
        </w:tc>
        <w:tc>
          <w:tcPr>
            <w:tcW w:w="1158" w:type="dxa"/>
            <w:vMerge w:val="continue"/>
            <w:noWrap w:val="0"/>
            <w:vAlign w:val="top"/>
          </w:tcPr>
          <w:p w14:paraId="466B3724">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4DC4582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每月对4台大气降水自动监测仪进行一次系统性的维护保养，填写维护记录交给广西壮族自治区北海生态环境监测中心。未达到要求的，视情况扣0-4分，未开展维护0分。</w:t>
            </w:r>
          </w:p>
        </w:tc>
        <w:tc>
          <w:tcPr>
            <w:tcW w:w="609" w:type="dxa"/>
            <w:noWrap w:val="0"/>
            <w:vAlign w:val="center"/>
          </w:tcPr>
          <w:p w14:paraId="50698BF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4</w:t>
            </w:r>
          </w:p>
        </w:tc>
        <w:tc>
          <w:tcPr>
            <w:tcW w:w="619" w:type="dxa"/>
            <w:noWrap w:val="0"/>
            <w:vAlign w:val="center"/>
          </w:tcPr>
          <w:p w14:paraId="42F9BC57">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07B2D3F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79AC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231A7B3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8</w:t>
            </w:r>
          </w:p>
        </w:tc>
        <w:tc>
          <w:tcPr>
            <w:tcW w:w="1158" w:type="dxa"/>
            <w:vMerge w:val="continue"/>
            <w:noWrap w:val="0"/>
            <w:vAlign w:val="top"/>
          </w:tcPr>
          <w:p w14:paraId="67F93E02">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7F6937A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每季度至少清洗一次仪器的集雨桶和雨量桶，要求清洗到位。未达到要求的，视情况扣0-3分，未开展清洗0分。</w:t>
            </w:r>
          </w:p>
        </w:tc>
        <w:tc>
          <w:tcPr>
            <w:tcW w:w="609" w:type="dxa"/>
            <w:noWrap w:val="0"/>
            <w:vAlign w:val="center"/>
          </w:tcPr>
          <w:p w14:paraId="284903A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3</w:t>
            </w:r>
          </w:p>
        </w:tc>
        <w:tc>
          <w:tcPr>
            <w:tcW w:w="619" w:type="dxa"/>
            <w:noWrap w:val="0"/>
            <w:vAlign w:val="center"/>
          </w:tcPr>
          <w:p w14:paraId="0ED09F45">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color w:val="auto"/>
                <w:sz w:val="22"/>
                <w:szCs w:val="22"/>
                <w:vertAlign w:val="baseline"/>
                <w:lang w:val="en-US" w:eastAsia="zh-CN"/>
              </w:rPr>
            </w:pPr>
          </w:p>
        </w:tc>
        <w:tc>
          <w:tcPr>
            <w:tcW w:w="1007" w:type="dxa"/>
            <w:noWrap w:val="0"/>
            <w:vAlign w:val="top"/>
          </w:tcPr>
          <w:p w14:paraId="5D18D93D">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35E6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0FFCEC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9</w:t>
            </w:r>
          </w:p>
        </w:tc>
        <w:tc>
          <w:tcPr>
            <w:tcW w:w="1158" w:type="dxa"/>
            <w:vMerge w:val="continue"/>
            <w:noWrap w:val="0"/>
            <w:vAlign w:val="top"/>
          </w:tcPr>
          <w:p w14:paraId="4889BCD0">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45CCCDA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每季度至少采集一次全程序空白样品，空白分析结果应与分析去离子水相同，否则，重新清洗集雨桶和雨量桶。未开展0分。</w:t>
            </w:r>
          </w:p>
        </w:tc>
        <w:tc>
          <w:tcPr>
            <w:tcW w:w="609" w:type="dxa"/>
            <w:noWrap w:val="0"/>
            <w:vAlign w:val="center"/>
          </w:tcPr>
          <w:p w14:paraId="0C94158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3</w:t>
            </w:r>
          </w:p>
        </w:tc>
        <w:tc>
          <w:tcPr>
            <w:tcW w:w="619" w:type="dxa"/>
            <w:noWrap w:val="0"/>
            <w:vAlign w:val="center"/>
          </w:tcPr>
          <w:p w14:paraId="55F2E589">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0C22C27C">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0436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049ABB0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10</w:t>
            </w:r>
          </w:p>
        </w:tc>
        <w:tc>
          <w:tcPr>
            <w:tcW w:w="1158" w:type="dxa"/>
            <w:vMerge w:val="continue"/>
            <w:noWrap w:val="0"/>
            <w:vAlign w:val="top"/>
          </w:tcPr>
          <w:p w14:paraId="4BC19C5B">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2E2DBCE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每天查看仪器的运行状态和主要参数，判断运行是否</w:t>
            </w:r>
            <w:r>
              <w:rPr>
                <w:rFonts w:hint="eastAsia" w:ascii="仿宋_GB2312" w:hAnsi="等线" w:eastAsia="仿宋_GB2312" w:cs="仿宋_GB2312"/>
                <w:i w:val="0"/>
                <w:iCs w:val="0"/>
                <w:color w:val="000000" w:themeColor="text1"/>
                <w:kern w:val="0"/>
                <w:sz w:val="22"/>
                <w:szCs w:val="22"/>
                <w:u w:val="none"/>
                <w:lang w:val="en-US" w:eastAsia="zh-CN" w:bidi="ar"/>
                <w14:textFill>
                  <w14:solidFill>
                    <w14:schemeClr w14:val="tx1"/>
                  </w14:solidFill>
                </w14:textFill>
              </w:rPr>
              <w:t>正常；每月扣除停电、不可抗力因素引起的故障等时间段最低数据有效率不低于85%。每个站点每降低1个百分点，扣2分，扣完为止。</w:t>
            </w:r>
          </w:p>
        </w:tc>
        <w:tc>
          <w:tcPr>
            <w:tcW w:w="609" w:type="dxa"/>
            <w:noWrap w:val="0"/>
            <w:vAlign w:val="center"/>
          </w:tcPr>
          <w:p w14:paraId="493AE21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auto"/>
                <w:sz w:val="32"/>
                <w:szCs w:val="32"/>
                <w:vertAlign w:val="baseline"/>
                <w:lang w:val="en-US"/>
              </w:rPr>
            </w:pPr>
            <w:r>
              <w:rPr>
                <w:rFonts w:hint="eastAsia" w:ascii="仿宋_GB2312" w:hAnsi="等线" w:eastAsia="仿宋_GB2312" w:cs="仿宋_GB2312"/>
                <w:i w:val="0"/>
                <w:iCs w:val="0"/>
                <w:color w:val="auto"/>
                <w:kern w:val="0"/>
                <w:sz w:val="22"/>
                <w:szCs w:val="22"/>
                <w:u w:val="none"/>
                <w:lang w:val="en-US" w:eastAsia="zh-CN" w:bidi="ar"/>
              </w:rPr>
              <w:t>20</w:t>
            </w:r>
          </w:p>
        </w:tc>
        <w:tc>
          <w:tcPr>
            <w:tcW w:w="619" w:type="dxa"/>
            <w:noWrap w:val="0"/>
            <w:vAlign w:val="center"/>
          </w:tcPr>
          <w:p w14:paraId="3CCA33B7">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color w:val="auto"/>
                <w:sz w:val="22"/>
                <w:szCs w:val="22"/>
                <w:vertAlign w:val="baseline"/>
                <w:lang w:val="en-US" w:eastAsia="zh-CN"/>
              </w:rPr>
            </w:pPr>
          </w:p>
        </w:tc>
        <w:tc>
          <w:tcPr>
            <w:tcW w:w="1007" w:type="dxa"/>
            <w:noWrap w:val="0"/>
            <w:vAlign w:val="top"/>
          </w:tcPr>
          <w:p w14:paraId="73A3457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300A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369F0CD0">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11</w:t>
            </w:r>
          </w:p>
        </w:tc>
        <w:tc>
          <w:tcPr>
            <w:tcW w:w="1158" w:type="dxa"/>
            <w:vMerge w:val="continue"/>
            <w:noWrap w:val="0"/>
            <w:vAlign w:val="top"/>
          </w:tcPr>
          <w:p w14:paraId="77F86245">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14ED989E">
            <w:pPr>
              <w:keepNext w:val="0"/>
              <w:keepLines w:val="0"/>
              <w:widowControl/>
              <w:suppressLineNumbers w:val="0"/>
              <w:spacing w:before="0" w:beforeAutospacing="0" w:after="0" w:afterAutospacing="0"/>
              <w:ind w:left="0" w:right="0"/>
              <w:jc w:val="left"/>
              <w:textAlignment w:val="center"/>
              <w:rPr>
                <w:rFonts w:hint="default"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数据上传率不低于90%，每个站点每缺少一场降水数据扣1分，没按规范操作导致非降水数据上传平台的，视情况扣分。</w:t>
            </w:r>
          </w:p>
        </w:tc>
        <w:tc>
          <w:tcPr>
            <w:tcW w:w="609" w:type="dxa"/>
            <w:noWrap w:val="0"/>
            <w:vAlign w:val="center"/>
          </w:tcPr>
          <w:p w14:paraId="56C08D31">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5</w:t>
            </w:r>
          </w:p>
        </w:tc>
        <w:tc>
          <w:tcPr>
            <w:tcW w:w="619" w:type="dxa"/>
            <w:noWrap w:val="0"/>
            <w:vAlign w:val="center"/>
          </w:tcPr>
          <w:p w14:paraId="4BAD1A50">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color w:val="auto"/>
                <w:sz w:val="22"/>
                <w:szCs w:val="22"/>
                <w:vertAlign w:val="baseline"/>
                <w:lang w:val="en-US" w:eastAsia="zh-CN"/>
              </w:rPr>
            </w:pPr>
          </w:p>
        </w:tc>
        <w:tc>
          <w:tcPr>
            <w:tcW w:w="1007" w:type="dxa"/>
            <w:noWrap w:val="0"/>
            <w:vAlign w:val="top"/>
          </w:tcPr>
          <w:p w14:paraId="181C09CE">
            <w:pPr>
              <w:keepNext w:val="0"/>
              <w:keepLines w:val="0"/>
              <w:widowControl/>
              <w:suppressLineNumbers w:val="0"/>
              <w:spacing w:before="0" w:beforeAutospacing="0" w:after="0" w:afterAutospacing="0"/>
              <w:ind w:left="0" w:right="0"/>
              <w:jc w:val="left"/>
              <w:textAlignment w:val="center"/>
              <w:rPr>
                <w:rFonts w:hint="default" w:ascii="仿宋_GB2312" w:hAnsi="等线" w:eastAsia="仿宋_GB2312" w:cs="仿宋_GB2312"/>
                <w:i w:val="0"/>
                <w:iCs w:val="0"/>
                <w:color w:val="auto"/>
                <w:kern w:val="0"/>
                <w:sz w:val="22"/>
                <w:szCs w:val="22"/>
                <w:u w:val="none"/>
                <w:lang w:val="en-US" w:eastAsia="zh-CN" w:bidi="ar"/>
              </w:rPr>
            </w:pPr>
          </w:p>
        </w:tc>
      </w:tr>
      <w:tr w14:paraId="4CC0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3B7F25F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12</w:t>
            </w:r>
          </w:p>
        </w:tc>
        <w:tc>
          <w:tcPr>
            <w:tcW w:w="1158" w:type="dxa"/>
            <w:vMerge w:val="restart"/>
            <w:noWrap w:val="0"/>
            <w:vAlign w:val="center"/>
          </w:tcPr>
          <w:p w14:paraId="368F3C3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b/>
                <w:bCs/>
                <w:i w:val="0"/>
                <w:iCs w:val="0"/>
                <w:color w:val="auto"/>
                <w:kern w:val="0"/>
                <w:sz w:val="22"/>
                <w:szCs w:val="22"/>
                <w:u w:val="none"/>
                <w:lang w:val="en-US" w:eastAsia="zh-CN" w:bidi="ar"/>
              </w:rPr>
              <w:t>样品采集</w:t>
            </w:r>
          </w:p>
        </w:tc>
        <w:tc>
          <w:tcPr>
            <w:tcW w:w="9659" w:type="dxa"/>
            <w:noWrap w:val="0"/>
            <w:vAlign w:val="center"/>
          </w:tcPr>
          <w:p w14:paraId="4EBDE02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逢雨必采，上午9:00至次日上午9:00的降水视为一个样品，须在次日15 时前送到实验室，样品与采样送样记录同时交接。没进行送样的，每缺漏一次样品0分，延时送样每次扣1分，送样不全每缺少一瓶水样扣1分，扣完为止。</w:t>
            </w:r>
          </w:p>
        </w:tc>
        <w:tc>
          <w:tcPr>
            <w:tcW w:w="609" w:type="dxa"/>
            <w:noWrap w:val="0"/>
            <w:vAlign w:val="center"/>
          </w:tcPr>
          <w:p w14:paraId="4B8B9B3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lang w:val="en-US" w:eastAsia="zh-CN"/>
              </w:rPr>
            </w:pPr>
            <w:r>
              <w:rPr>
                <w:rFonts w:hint="eastAsia" w:ascii="仿宋_GB2312" w:hAnsi="等线" w:eastAsia="仿宋_GB2312" w:cs="仿宋_GB2312"/>
                <w:i w:val="0"/>
                <w:iCs w:val="0"/>
                <w:color w:val="auto"/>
                <w:kern w:val="0"/>
                <w:sz w:val="22"/>
                <w:szCs w:val="22"/>
                <w:u w:val="none"/>
                <w:lang w:val="en-US" w:eastAsia="zh-CN" w:bidi="ar"/>
              </w:rPr>
              <w:t>4</w:t>
            </w:r>
          </w:p>
        </w:tc>
        <w:tc>
          <w:tcPr>
            <w:tcW w:w="619" w:type="dxa"/>
            <w:noWrap w:val="0"/>
            <w:vAlign w:val="center"/>
          </w:tcPr>
          <w:p w14:paraId="1354F348">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0B5E9051">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6650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3677BC8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13</w:t>
            </w:r>
          </w:p>
        </w:tc>
        <w:tc>
          <w:tcPr>
            <w:tcW w:w="1158" w:type="dxa"/>
            <w:vMerge w:val="continue"/>
            <w:noWrap w:val="0"/>
            <w:vAlign w:val="top"/>
          </w:tcPr>
          <w:p w14:paraId="08F51A72">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62042A3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每次采集水样，需查看仪器状态，确定pH值、电导率、降雨量是否需要实验室分析，并在表格勾选分析项目。按每遗漏一个扣0.5分，扣完为止。</w:t>
            </w:r>
          </w:p>
        </w:tc>
        <w:tc>
          <w:tcPr>
            <w:tcW w:w="609" w:type="dxa"/>
            <w:noWrap w:val="0"/>
            <w:vAlign w:val="center"/>
          </w:tcPr>
          <w:p w14:paraId="00C15C6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3</w:t>
            </w:r>
          </w:p>
        </w:tc>
        <w:tc>
          <w:tcPr>
            <w:tcW w:w="619" w:type="dxa"/>
            <w:noWrap w:val="0"/>
            <w:vAlign w:val="center"/>
          </w:tcPr>
          <w:p w14:paraId="121A772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color w:val="auto"/>
                <w:sz w:val="22"/>
                <w:szCs w:val="22"/>
                <w:vertAlign w:val="baseline"/>
                <w:lang w:val="en-US" w:eastAsia="zh-CN"/>
              </w:rPr>
            </w:pPr>
          </w:p>
        </w:tc>
        <w:tc>
          <w:tcPr>
            <w:tcW w:w="1007" w:type="dxa"/>
            <w:noWrap w:val="0"/>
            <w:vAlign w:val="top"/>
          </w:tcPr>
          <w:p w14:paraId="6563065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7E6F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3D44D86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14</w:t>
            </w:r>
          </w:p>
        </w:tc>
        <w:tc>
          <w:tcPr>
            <w:tcW w:w="1158" w:type="dxa"/>
            <w:vMerge w:val="continue"/>
            <w:noWrap w:val="0"/>
            <w:vAlign w:val="top"/>
          </w:tcPr>
          <w:p w14:paraId="0C6CF85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4F2E84F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做好每场降水样品采集的照片。照片水印信息包括：点位经纬度和所在地名称、时间信息。照片内容包括：样品量、样品与仪器的合影、仪器与其周边环境。未达到要求的，视情况扣0-3分。</w:t>
            </w:r>
          </w:p>
        </w:tc>
        <w:tc>
          <w:tcPr>
            <w:tcW w:w="609" w:type="dxa"/>
            <w:noWrap w:val="0"/>
            <w:vAlign w:val="center"/>
          </w:tcPr>
          <w:p w14:paraId="1CC1925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3</w:t>
            </w:r>
          </w:p>
        </w:tc>
        <w:tc>
          <w:tcPr>
            <w:tcW w:w="619" w:type="dxa"/>
            <w:noWrap w:val="0"/>
            <w:vAlign w:val="center"/>
          </w:tcPr>
          <w:p w14:paraId="5F3CA24D">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color w:val="auto"/>
                <w:sz w:val="22"/>
                <w:szCs w:val="22"/>
                <w:vertAlign w:val="baseline"/>
                <w:lang w:val="en-US" w:eastAsia="zh-CN"/>
              </w:rPr>
            </w:pPr>
          </w:p>
        </w:tc>
        <w:tc>
          <w:tcPr>
            <w:tcW w:w="1007" w:type="dxa"/>
            <w:noWrap w:val="0"/>
            <w:vAlign w:val="top"/>
          </w:tcPr>
          <w:p w14:paraId="28459485">
            <w:pPr>
              <w:keepNext w:val="0"/>
              <w:keepLines w:val="0"/>
              <w:widowControl/>
              <w:suppressLineNumbers w:val="0"/>
              <w:spacing w:before="0" w:beforeAutospacing="0" w:after="0" w:afterAutospacing="0"/>
              <w:ind w:left="0" w:right="0"/>
              <w:jc w:val="left"/>
              <w:textAlignment w:val="center"/>
              <w:rPr>
                <w:rFonts w:hint="default" w:ascii="仿宋_GB2312" w:hAnsi="等线" w:eastAsia="仿宋_GB2312" w:cs="仿宋_GB2312"/>
                <w:i w:val="0"/>
                <w:iCs w:val="0"/>
                <w:color w:val="auto"/>
                <w:kern w:val="0"/>
                <w:sz w:val="22"/>
                <w:szCs w:val="22"/>
                <w:u w:val="none"/>
                <w:lang w:val="en-US" w:eastAsia="zh-CN" w:bidi="ar"/>
              </w:rPr>
            </w:pPr>
          </w:p>
        </w:tc>
      </w:tr>
      <w:tr w14:paraId="49AE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53A2353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15</w:t>
            </w:r>
          </w:p>
        </w:tc>
        <w:tc>
          <w:tcPr>
            <w:tcW w:w="1158" w:type="dxa"/>
            <w:vMerge w:val="continue"/>
            <w:noWrap w:val="0"/>
            <w:vAlign w:val="top"/>
          </w:tcPr>
          <w:p w14:paraId="03AC724A">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29C369E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因不可抗拒原因造成的样品采集延迟，该次样品仍需送样，并在送样记录单备注延迟原因。每出现一次未按要求备注延迟原因扣0.5分，扣完为止。</w:t>
            </w:r>
          </w:p>
        </w:tc>
        <w:tc>
          <w:tcPr>
            <w:tcW w:w="609" w:type="dxa"/>
            <w:noWrap w:val="0"/>
            <w:vAlign w:val="center"/>
          </w:tcPr>
          <w:p w14:paraId="6FEDCBF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2</w:t>
            </w:r>
          </w:p>
        </w:tc>
        <w:tc>
          <w:tcPr>
            <w:tcW w:w="619" w:type="dxa"/>
            <w:noWrap w:val="0"/>
            <w:vAlign w:val="center"/>
          </w:tcPr>
          <w:p w14:paraId="688F1510">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714AC091">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0C54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781233E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16</w:t>
            </w:r>
          </w:p>
        </w:tc>
        <w:tc>
          <w:tcPr>
            <w:tcW w:w="1158" w:type="dxa"/>
            <w:vMerge w:val="continue"/>
            <w:noWrap w:val="0"/>
            <w:vAlign w:val="top"/>
          </w:tcPr>
          <w:p w14:paraId="01EB5255">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6B0B196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平台有降雨量，不管多少必须到现场。未按要求核实的，每个站点每次扣0.5分，扣完为止。</w:t>
            </w:r>
          </w:p>
        </w:tc>
        <w:tc>
          <w:tcPr>
            <w:tcW w:w="609" w:type="dxa"/>
            <w:noWrap w:val="0"/>
            <w:vAlign w:val="center"/>
          </w:tcPr>
          <w:p w14:paraId="7804515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2</w:t>
            </w:r>
          </w:p>
        </w:tc>
        <w:tc>
          <w:tcPr>
            <w:tcW w:w="619" w:type="dxa"/>
            <w:noWrap w:val="0"/>
            <w:vAlign w:val="center"/>
          </w:tcPr>
          <w:p w14:paraId="08EC9CFA">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color w:val="auto"/>
                <w:sz w:val="22"/>
                <w:szCs w:val="22"/>
                <w:vertAlign w:val="baseline"/>
                <w:lang w:val="en-US" w:eastAsia="zh-CN"/>
              </w:rPr>
            </w:pPr>
          </w:p>
        </w:tc>
        <w:tc>
          <w:tcPr>
            <w:tcW w:w="1007" w:type="dxa"/>
            <w:noWrap w:val="0"/>
            <w:vAlign w:val="top"/>
          </w:tcPr>
          <w:p w14:paraId="7468BCB7">
            <w:pPr>
              <w:keepNext w:val="0"/>
              <w:keepLines w:val="0"/>
              <w:widowControl/>
              <w:suppressLineNumbers w:val="0"/>
              <w:spacing w:before="0" w:beforeAutospacing="0" w:after="0" w:afterAutospacing="0"/>
              <w:ind w:left="0" w:right="0"/>
              <w:jc w:val="left"/>
              <w:textAlignment w:val="center"/>
              <w:rPr>
                <w:rFonts w:hint="default" w:ascii="仿宋_GB2312" w:hAnsi="等线" w:eastAsia="仿宋_GB2312" w:cs="仿宋_GB2312"/>
                <w:i w:val="0"/>
                <w:iCs w:val="0"/>
                <w:color w:val="auto"/>
                <w:kern w:val="0"/>
                <w:sz w:val="22"/>
                <w:szCs w:val="22"/>
                <w:u w:val="none"/>
                <w:lang w:val="en-US" w:eastAsia="zh-CN" w:bidi="ar"/>
              </w:rPr>
            </w:pPr>
          </w:p>
        </w:tc>
      </w:tr>
      <w:tr w14:paraId="1D35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06741FA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17</w:t>
            </w:r>
          </w:p>
        </w:tc>
        <w:tc>
          <w:tcPr>
            <w:tcW w:w="1158" w:type="dxa"/>
            <w:noWrap w:val="0"/>
            <w:vAlign w:val="center"/>
          </w:tcPr>
          <w:p w14:paraId="0A1A6E6F">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b/>
                <w:bCs/>
                <w:i w:val="0"/>
                <w:iCs w:val="0"/>
                <w:color w:val="auto"/>
                <w:kern w:val="0"/>
                <w:sz w:val="22"/>
                <w:szCs w:val="22"/>
                <w:u w:val="none"/>
                <w:lang w:val="en-US" w:eastAsia="zh-CN" w:bidi="ar"/>
              </w:rPr>
            </w:pPr>
            <w:r>
              <w:rPr>
                <w:rFonts w:hint="eastAsia" w:ascii="仿宋_GB2312" w:hAnsi="等线" w:eastAsia="仿宋_GB2312" w:cs="仿宋_GB2312"/>
                <w:b/>
                <w:bCs/>
                <w:i w:val="0"/>
                <w:iCs w:val="0"/>
                <w:color w:val="auto"/>
                <w:kern w:val="0"/>
                <w:sz w:val="22"/>
                <w:szCs w:val="22"/>
                <w:u w:val="none"/>
                <w:lang w:val="en-US" w:eastAsia="zh-CN" w:bidi="ar"/>
              </w:rPr>
              <w:t>网络通</w:t>
            </w:r>
          </w:p>
          <w:p w14:paraId="4C438A3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b/>
                <w:bCs/>
                <w:i w:val="0"/>
                <w:iCs w:val="0"/>
                <w:color w:val="auto"/>
                <w:kern w:val="0"/>
                <w:sz w:val="22"/>
                <w:szCs w:val="22"/>
                <w:u w:val="none"/>
                <w:lang w:val="en-US" w:eastAsia="zh-CN" w:bidi="ar"/>
              </w:rPr>
              <w:t>讯保障</w:t>
            </w:r>
          </w:p>
        </w:tc>
        <w:tc>
          <w:tcPr>
            <w:tcW w:w="9659" w:type="dxa"/>
            <w:noWrap w:val="0"/>
            <w:vAlign w:val="center"/>
          </w:tcPr>
          <w:p w14:paraId="093E401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设备网络连接出现故障异常要及时维修、报修，确保数据网络传输正常，扣除不可抗力因素外的网络通讯率不低于95%（按在线时间计算）。未按要求完成的，视情况扣0-5分，扣完为止。</w:t>
            </w:r>
          </w:p>
        </w:tc>
        <w:tc>
          <w:tcPr>
            <w:tcW w:w="609" w:type="dxa"/>
            <w:noWrap w:val="0"/>
            <w:vAlign w:val="center"/>
          </w:tcPr>
          <w:p w14:paraId="33A47B7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5</w:t>
            </w:r>
          </w:p>
        </w:tc>
        <w:tc>
          <w:tcPr>
            <w:tcW w:w="619" w:type="dxa"/>
            <w:noWrap w:val="0"/>
            <w:vAlign w:val="center"/>
          </w:tcPr>
          <w:p w14:paraId="3844B9EF">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color w:val="auto"/>
                <w:sz w:val="22"/>
                <w:szCs w:val="22"/>
                <w:vertAlign w:val="baseline"/>
                <w:lang w:val="en-US" w:eastAsia="zh-CN"/>
              </w:rPr>
            </w:pPr>
          </w:p>
        </w:tc>
        <w:tc>
          <w:tcPr>
            <w:tcW w:w="1007" w:type="dxa"/>
            <w:noWrap w:val="0"/>
            <w:vAlign w:val="top"/>
          </w:tcPr>
          <w:p w14:paraId="05880890">
            <w:pPr>
              <w:keepNext w:val="0"/>
              <w:keepLines w:val="0"/>
              <w:widowControl/>
              <w:suppressLineNumbers w:val="0"/>
              <w:spacing w:before="0" w:beforeAutospacing="0" w:after="0" w:afterAutospacing="0"/>
              <w:ind w:left="0" w:right="0"/>
              <w:jc w:val="left"/>
              <w:textAlignment w:val="center"/>
              <w:rPr>
                <w:rFonts w:hint="default" w:ascii="仿宋_GB2312" w:hAnsi="等线" w:eastAsia="仿宋_GB2312" w:cs="仿宋_GB2312"/>
                <w:i w:val="0"/>
                <w:iCs w:val="0"/>
                <w:color w:val="auto"/>
                <w:kern w:val="0"/>
                <w:sz w:val="22"/>
                <w:szCs w:val="22"/>
                <w:u w:val="none"/>
                <w:lang w:val="en-US" w:eastAsia="zh-CN" w:bidi="ar"/>
              </w:rPr>
            </w:pPr>
          </w:p>
        </w:tc>
      </w:tr>
      <w:tr w14:paraId="2164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3E43DD7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18</w:t>
            </w:r>
          </w:p>
        </w:tc>
        <w:tc>
          <w:tcPr>
            <w:tcW w:w="1158" w:type="dxa"/>
            <w:vMerge w:val="restart"/>
            <w:noWrap w:val="0"/>
            <w:vAlign w:val="center"/>
          </w:tcPr>
          <w:p w14:paraId="5906C194">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b/>
                <w:bCs/>
                <w:i w:val="0"/>
                <w:iCs w:val="0"/>
                <w:color w:val="auto"/>
                <w:kern w:val="0"/>
                <w:sz w:val="22"/>
                <w:szCs w:val="22"/>
                <w:u w:val="none"/>
                <w:lang w:val="en-US" w:eastAsia="zh-CN" w:bidi="ar"/>
              </w:rPr>
            </w:pPr>
            <w:r>
              <w:rPr>
                <w:rFonts w:hint="eastAsia" w:ascii="仿宋_GB2312" w:hAnsi="等线" w:eastAsia="仿宋_GB2312" w:cs="仿宋_GB2312"/>
                <w:b/>
                <w:bCs/>
                <w:i w:val="0"/>
                <w:iCs w:val="0"/>
                <w:color w:val="auto"/>
                <w:kern w:val="0"/>
                <w:sz w:val="22"/>
                <w:szCs w:val="22"/>
                <w:u w:val="none"/>
                <w:lang w:val="en-US" w:eastAsia="zh-CN" w:bidi="ar"/>
              </w:rPr>
              <w:t>故障处理</w:t>
            </w:r>
          </w:p>
          <w:p w14:paraId="006095E7">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b/>
                <w:bCs/>
                <w:i w:val="0"/>
                <w:iCs w:val="0"/>
                <w:color w:val="auto"/>
                <w:kern w:val="0"/>
                <w:sz w:val="22"/>
                <w:szCs w:val="22"/>
                <w:u w:val="none"/>
                <w:lang w:val="en-US" w:eastAsia="zh-CN" w:bidi="ar"/>
              </w:rPr>
            </w:pPr>
            <w:r>
              <w:rPr>
                <w:rFonts w:hint="eastAsia" w:ascii="仿宋_GB2312" w:hAnsi="等线" w:eastAsia="仿宋_GB2312" w:cs="仿宋_GB2312"/>
                <w:b/>
                <w:bCs/>
                <w:i w:val="0"/>
                <w:iCs w:val="0"/>
                <w:color w:val="auto"/>
                <w:kern w:val="0"/>
                <w:sz w:val="22"/>
                <w:szCs w:val="22"/>
                <w:u w:val="none"/>
                <w:lang w:val="en-US" w:eastAsia="zh-CN" w:bidi="ar"/>
              </w:rPr>
              <w:t>系统维护</w:t>
            </w:r>
          </w:p>
        </w:tc>
        <w:tc>
          <w:tcPr>
            <w:tcW w:w="9659" w:type="dxa"/>
            <w:noWrap w:val="0"/>
            <w:vAlign w:val="center"/>
          </w:tcPr>
          <w:p w14:paraId="4125640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仪器设备出现故障，4小时内响应，8小时内作出故障诊断，不需要更换配件的故障问题应24小时内解决；需要更换配件的故障问题3天内解决，确实无法解决的，需征得广西壮族自治区北海生态环境监测中心同意，在指定的期限内解决问题。且更换设备或修复后的仪器在运行之前进行必要的检测和测试，各项指标均达到要求。未按要求进行的，视现场情况扣0-4分，扣完为止。</w:t>
            </w:r>
          </w:p>
        </w:tc>
        <w:tc>
          <w:tcPr>
            <w:tcW w:w="609" w:type="dxa"/>
            <w:noWrap w:val="0"/>
            <w:vAlign w:val="center"/>
          </w:tcPr>
          <w:p w14:paraId="0C944EC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32"/>
                <w:szCs w:val="32"/>
                <w:vertAlign w:val="baseline"/>
                <w:lang w:val="en-US" w:eastAsia="zh-CN"/>
              </w:rPr>
            </w:pPr>
            <w:r>
              <w:rPr>
                <w:rFonts w:hint="eastAsia" w:ascii="仿宋_GB2312" w:hAnsi="等线" w:eastAsia="仿宋_GB2312" w:cs="仿宋_GB2312"/>
                <w:i w:val="0"/>
                <w:iCs w:val="0"/>
                <w:color w:val="auto"/>
                <w:kern w:val="0"/>
                <w:sz w:val="22"/>
                <w:szCs w:val="22"/>
                <w:u w:val="none"/>
                <w:lang w:val="en-US" w:eastAsia="zh-CN" w:bidi="ar"/>
              </w:rPr>
              <w:t>4</w:t>
            </w:r>
          </w:p>
        </w:tc>
        <w:tc>
          <w:tcPr>
            <w:tcW w:w="619" w:type="dxa"/>
            <w:noWrap w:val="0"/>
            <w:vAlign w:val="center"/>
          </w:tcPr>
          <w:p w14:paraId="2E7DB701">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4964CAA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5A65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0B39BB2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20</w:t>
            </w:r>
          </w:p>
        </w:tc>
        <w:tc>
          <w:tcPr>
            <w:tcW w:w="1158" w:type="dxa"/>
            <w:vMerge w:val="continue"/>
            <w:noWrap w:val="0"/>
            <w:vAlign w:val="top"/>
          </w:tcPr>
          <w:p w14:paraId="13B16B4B">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6866C35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系统异常情况响应和处理率达到100%，分数视实际情况扣0-4分，扣完为止。</w:t>
            </w:r>
          </w:p>
        </w:tc>
        <w:tc>
          <w:tcPr>
            <w:tcW w:w="609" w:type="dxa"/>
            <w:noWrap w:val="0"/>
            <w:vAlign w:val="center"/>
          </w:tcPr>
          <w:p w14:paraId="2A5CFBC6">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4</w:t>
            </w:r>
          </w:p>
        </w:tc>
        <w:tc>
          <w:tcPr>
            <w:tcW w:w="619" w:type="dxa"/>
            <w:noWrap w:val="0"/>
            <w:vAlign w:val="center"/>
          </w:tcPr>
          <w:p w14:paraId="08F6DA14">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192072F1">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474F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5278EDB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等线" w:eastAsia="仿宋_GB2312" w:cs="仿宋_GB2312"/>
                <w:i w:val="0"/>
                <w:iCs w:val="0"/>
                <w:color w:val="auto"/>
                <w:kern w:val="0"/>
                <w:sz w:val="22"/>
                <w:szCs w:val="22"/>
                <w:u w:val="none"/>
                <w:lang w:val="en-US" w:eastAsia="zh-CN" w:bidi="ar"/>
              </w:rPr>
              <w:t>21</w:t>
            </w:r>
          </w:p>
        </w:tc>
        <w:tc>
          <w:tcPr>
            <w:tcW w:w="1158" w:type="dxa"/>
            <w:vMerge w:val="continue"/>
            <w:noWrap w:val="0"/>
            <w:vAlign w:val="top"/>
          </w:tcPr>
          <w:p w14:paraId="7E1D9233">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c>
          <w:tcPr>
            <w:tcW w:w="9659" w:type="dxa"/>
            <w:noWrap w:val="0"/>
            <w:vAlign w:val="center"/>
          </w:tcPr>
          <w:p w14:paraId="0213992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i w:val="0"/>
                <w:iCs w:val="0"/>
                <w:color w:val="auto"/>
                <w:kern w:val="0"/>
                <w:sz w:val="22"/>
                <w:szCs w:val="22"/>
                <w:u w:val="none"/>
                <w:lang w:val="en-US" w:eastAsia="zh-CN" w:bidi="ar"/>
              </w:rPr>
              <w:t>按要求对系统进行必要的升级。未按要求完成的0分。</w:t>
            </w:r>
          </w:p>
        </w:tc>
        <w:tc>
          <w:tcPr>
            <w:tcW w:w="609" w:type="dxa"/>
            <w:noWrap w:val="0"/>
            <w:vAlign w:val="center"/>
          </w:tcPr>
          <w:p w14:paraId="6FB685FC">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4</w:t>
            </w:r>
          </w:p>
        </w:tc>
        <w:tc>
          <w:tcPr>
            <w:tcW w:w="619" w:type="dxa"/>
            <w:noWrap w:val="0"/>
            <w:vAlign w:val="center"/>
          </w:tcPr>
          <w:p w14:paraId="6B67B4F8">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47CD4154">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3164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4AC0FEED">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22</w:t>
            </w:r>
          </w:p>
        </w:tc>
        <w:tc>
          <w:tcPr>
            <w:tcW w:w="1158" w:type="dxa"/>
            <w:vMerge w:val="continue"/>
            <w:noWrap w:val="0"/>
            <w:vAlign w:val="center"/>
          </w:tcPr>
          <w:p w14:paraId="0C1A7C90">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b/>
                <w:bCs/>
                <w:i w:val="0"/>
                <w:iCs w:val="0"/>
                <w:color w:val="auto"/>
                <w:kern w:val="0"/>
                <w:sz w:val="22"/>
                <w:szCs w:val="22"/>
                <w:u w:val="none"/>
                <w:lang w:val="en-US" w:eastAsia="zh-CN" w:bidi="ar"/>
              </w:rPr>
            </w:pPr>
          </w:p>
        </w:tc>
        <w:tc>
          <w:tcPr>
            <w:tcW w:w="9659" w:type="dxa"/>
            <w:noWrap w:val="0"/>
            <w:vAlign w:val="center"/>
          </w:tcPr>
          <w:p w14:paraId="5502B616">
            <w:pPr>
              <w:keepNext w:val="0"/>
              <w:keepLines w:val="0"/>
              <w:widowControl/>
              <w:suppressLineNumbers w:val="0"/>
              <w:spacing w:before="0" w:beforeAutospacing="0" w:after="0" w:afterAutospacing="0"/>
              <w:ind w:left="0" w:right="0"/>
              <w:jc w:val="left"/>
              <w:textAlignment w:val="center"/>
              <w:rPr>
                <w:rFonts w:hint="eastAsia"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更换中标产品所需耗材、配件需为原厂同品牌同型号且同品质耗材、配件，未符合要求的0分。</w:t>
            </w:r>
          </w:p>
        </w:tc>
        <w:tc>
          <w:tcPr>
            <w:tcW w:w="609" w:type="dxa"/>
            <w:noWrap w:val="0"/>
            <w:vAlign w:val="center"/>
          </w:tcPr>
          <w:p w14:paraId="2F1580F8">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10</w:t>
            </w:r>
          </w:p>
        </w:tc>
        <w:tc>
          <w:tcPr>
            <w:tcW w:w="619" w:type="dxa"/>
            <w:noWrap w:val="0"/>
            <w:vAlign w:val="center"/>
          </w:tcPr>
          <w:p w14:paraId="7686877E">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3057FEA9">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4B37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32BA8D6E">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23</w:t>
            </w:r>
          </w:p>
        </w:tc>
        <w:tc>
          <w:tcPr>
            <w:tcW w:w="1158" w:type="dxa"/>
            <w:noWrap w:val="0"/>
            <w:vAlign w:val="top"/>
          </w:tcPr>
          <w:p w14:paraId="7C310CFD">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b/>
                <w:bCs/>
                <w:i w:val="0"/>
                <w:iCs w:val="0"/>
                <w:color w:val="auto"/>
                <w:kern w:val="0"/>
                <w:sz w:val="22"/>
                <w:szCs w:val="22"/>
                <w:u w:val="none"/>
                <w:lang w:val="en-US" w:eastAsia="zh-CN" w:bidi="ar"/>
              </w:rPr>
              <w:t>站点环境</w:t>
            </w:r>
          </w:p>
        </w:tc>
        <w:tc>
          <w:tcPr>
            <w:tcW w:w="9659" w:type="dxa"/>
            <w:noWrap w:val="0"/>
            <w:vAlign w:val="center"/>
          </w:tcPr>
          <w:p w14:paraId="684B7D9E">
            <w:pPr>
              <w:keepNext w:val="0"/>
              <w:keepLines w:val="0"/>
              <w:widowControl/>
              <w:suppressLineNumbers w:val="0"/>
              <w:spacing w:before="0" w:beforeAutospacing="0" w:after="0" w:afterAutospacing="0"/>
              <w:ind w:left="0" w:right="0"/>
              <w:jc w:val="left"/>
              <w:textAlignment w:val="center"/>
              <w:rPr>
                <w:rFonts w:hint="eastAsia"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定期清理卫生，保持仪器和站点周边环境卫生。未按要求完成的，按每个站点每次扣0.5分，扣完为止。</w:t>
            </w:r>
          </w:p>
        </w:tc>
        <w:tc>
          <w:tcPr>
            <w:tcW w:w="609" w:type="dxa"/>
            <w:noWrap w:val="0"/>
            <w:vAlign w:val="center"/>
          </w:tcPr>
          <w:p w14:paraId="39CB0500">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2</w:t>
            </w:r>
          </w:p>
        </w:tc>
        <w:tc>
          <w:tcPr>
            <w:tcW w:w="619" w:type="dxa"/>
            <w:noWrap w:val="0"/>
            <w:vAlign w:val="center"/>
          </w:tcPr>
          <w:p w14:paraId="4731C034">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15361676">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2E8F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noWrap w:val="0"/>
            <w:vAlign w:val="center"/>
          </w:tcPr>
          <w:p w14:paraId="20798FC0">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24</w:t>
            </w:r>
          </w:p>
        </w:tc>
        <w:tc>
          <w:tcPr>
            <w:tcW w:w="1158" w:type="dxa"/>
            <w:noWrap w:val="0"/>
            <w:vAlign w:val="center"/>
          </w:tcPr>
          <w:p w14:paraId="5A2D78EB">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32"/>
                <w:szCs w:val="32"/>
                <w:vertAlign w:val="baseline"/>
              </w:rPr>
            </w:pPr>
            <w:r>
              <w:rPr>
                <w:rFonts w:hint="eastAsia" w:ascii="仿宋_GB2312" w:hAnsi="等线" w:eastAsia="仿宋_GB2312" w:cs="仿宋_GB2312"/>
                <w:b/>
                <w:bCs/>
                <w:i w:val="0"/>
                <w:iCs w:val="0"/>
                <w:color w:val="auto"/>
                <w:kern w:val="0"/>
                <w:sz w:val="22"/>
                <w:szCs w:val="22"/>
                <w:u w:val="none"/>
                <w:lang w:val="en-US" w:eastAsia="zh-CN" w:bidi="ar"/>
              </w:rPr>
              <w:t>异常汇报</w:t>
            </w:r>
          </w:p>
        </w:tc>
        <w:tc>
          <w:tcPr>
            <w:tcW w:w="9659" w:type="dxa"/>
            <w:noWrap w:val="0"/>
            <w:vAlign w:val="center"/>
          </w:tcPr>
          <w:p w14:paraId="118718FE">
            <w:pPr>
              <w:keepNext w:val="0"/>
              <w:keepLines w:val="0"/>
              <w:widowControl/>
              <w:suppressLineNumbers w:val="0"/>
              <w:spacing w:before="0" w:beforeAutospacing="0" w:after="0" w:afterAutospacing="0"/>
              <w:ind w:left="0" w:right="0"/>
              <w:jc w:val="left"/>
              <w:textAlignment w:val="center"/>
              <w:rPr>
                <w:rFonts w:hint="default"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及时汇报人为干拢、周边环境异常、数据异常等情况，未汇报的视实际情况扣0-2分，扣完为止，未及时汇报出现严重问题的0分。</w:t>
            </w:r>
          </w:p>
        </w:tc>
        <w:tc>
          <w:tcPr>
            <w:tcW w:w="609" w:type="dxa"/>
            <w:noWrap w:val="0"/>
            <w:vAlign w:val="center"/>
          </w:tcPr>
          <w:p w14:paraId="531A338D">
            <w:pPr>
              <w:keepNext w:val="0"/>
              <w:keepLines w:val="0"/>
              <w:widowControl/>
              <w:suppressLineNumbers w:val="0"/>
              <w:spacing w:before="0" w:beforeAutospacing="0" w:after="0" w:afterAutospacing="0"/>
              <w:ind w:left="0" w:right="0"/>
              <w:jc w:val="center"/>
              <w:textAlignment w:val="center"/>
              <w:rPr>
                <w:rFonts w:hint="eastAsia"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2</w:t>
            </w:r>
          </w:p>
        </w:tc>
        <w:tc>
          <w:tcPr>
            <w:tcW w:w="619" w:type="dxa"/>
            <w:noWrap w:val="0"/>
            <w:vAlign w:val="center"/>
          </w:tcPr>
          <w:p w14:paraId="44E1891E">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color w:val="auto"/>
                <w:sz w:val="22"/>
                <w:szCs w:val="22"/>
                <w:vertAlign w:val="baseline"/>
                <w:lang w:val="en-US" w:eastAsia="zh-CN"/>
              </w:rPr>
            </w:pPr>
          </w:p>
        </w:tc>
        <w:tc>
          <w:tcPr>
            <w:tcW w:w="1007" w:type="dxa"/>
            <w:noWrap w:val="0"/>
            <w:vAlign w:val="top"/>
          </w:tcPr>
          <w:p w14:paraId="16241ECD">
            <w:pPr>
              <w:keepNext w:val="0"/>
              <w:keepLines w:val="0"/>
              <w:widowControl/>
              <w:suppressLineNumbers w:val="0"/>
              <w:spacing w:before="0" w:beforeAutospacing="0" w:after="0" w:afterAutospacing="0"/>
              <w:ind w:left="0" w:right="0"/>
              <w:jc w:val="left"/>
              <w:textAlignment w:val="center"/>
              <w:rPr>
                <w:rFonts w:hint="default" w:ascii="仿宋_GB2312" w:hAnsi="等线" w:eastAsia="仿宋_GB2312" w:cs="仿宋_GB2312"/>
                <w:i w:val="0"/>
                <w:iCs w:val="0"/>
                <w:color w:val="auto"/>
                <w:kern w:val="0"/>
                <w:sz w:val="22"/>
                <w:szCs w:val="22"/>
                <w:u w:val="none"/>
                <w:lang w:val="en-US" w:eastAsia="zh-CN" w:bidi="ar"/>
              </w:rPr>
            </w:pPr>
          </w:p>
        </w:tc>
      </w:tr>
      <w:tr w14:paraId="0BEF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0" w:type="dxa"/>
            <w:gridSpan w:val="3"/>
            <w:noWrap w:val="0"/>
            <w:vAlign w:val="center"/>
          </w:tcPr>
          <w:p w14:paraId="009FEE21">
            <w:pPr>
              <w:keepNext w:val="0"/>
              <w:keepLines w:val="0"/>
              <w:widowControl/>
              <w:suppressLineNumbers w:val="0"/>
              <w:spacing w:before="0" w:beforeAutospacing="0" w:after="0" w:afterAutospacing="0"/>
              <w:ind w:left="0" w:right="0"/>
              <w:jc w:val="left"/>
              <w:textAlignment w:val="center"/>
              <w:rPr>
                <w:rFonts w:hint="default"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合计：</w:t>
            </w:r>
          </w:p>
        </w:tc>
        <w:tc>
          <w:tcPr>
            <w:tcW w:w="609" w:type="dxa"/>
            <w:noWrap w:val="0"/>
            <w:vAlign w:val="center"/>
          </w:tcPr>
          <w:p w14:paraId="0D5C208C">
            <w:pPr>
              <w:keepNext w:val="0"/>
              <w:keepLines w:val="0"/>
              <w:widowControl/>
              <w:suppressLineNumbers w:val="0"/>
              <w:spacing w:before="0" w:beforeAutospacing="0" w:after="0" w:afterAutospacing="0"/>
              <w:ind w:left="0" w:right="0"/>
              <w:jc w:val="both"/>
              <w:textAlignment w:val="center"/>
              <w:rPr>
                <w:rFonts w:hint="default" w:ascii="仿宋_GB2312" w:hAnsi="等线" w:eastAsia="仿宋_GB2312" w:cs="仿宋_GB2312"/>
                <w:i w:val="0"/>
                <w:iCs w:val="0"/>
                <w:color w:val="auto"/>
                <w:kern w:val="0"/>
                <w:sz w:val="22"/>
                <w:szCs w:val="22"/>
                <w:u w:val="none"/>
                <w:lang w:val="en-US" w:eastAsia="zh-CN" w:bidi="ar"/>
              </w:rPr>
            </w:pPr>
            <w:r>
              <w:rPr>
                <w:rFonts w:hint="eastAsia" w:ascii="仿宋_GB2312" w:hAnsi="等线" w:eastAsia="仿宋_GB2312" w:cs="仿宋_GB2312"/>
                <w:i w:val="0"/>
                <w:iCs w:val="0"/>
                <w:color w:val="auto"/>
                <w:kern w:val="0"/>
                <w:sz w:val="22"/>
                <w:szCs w:val="22"/>
                <w:u w:val="none"/>
                <w:lang w:val="en-US" w:eastAsia="zh-CN" w:bidi="ar"/>
              </w:rPr>
              <w:t>100</w:t>
            </w:r>
          </w:p>
        </w:tc>
        <w:tc>
          <w:tcPr>
            <w:tcW w:w="619" w:type="dxa"/>
            <w:noWrap w:val="0"/>
            <w:vAlign w:val="center"/>
          </w:tcPr>
          <w:p w14:paraId="334FEE0B">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color w:val="auto"/>
                <w:sz w:val="22"/>
                <w:szCs w:val="22"/>
                <w:vertAlign w:val="baseline"/>
                <w:lang w:val="en-US" w:eastAsia="zh-CN"/>
              </w:rPr>
            </w:pPr>
          </w:p>
        </w:tc>
        <w:tc>
          <w:tcPr>
            <w:tcW w:w="1007" w:type="dxa"/>
            <w:noWrap w:val="0"/>
            <w:vAlign w:val="top"/>
          </w:tcPr>
          <w:p w14:paraId="08CE44DC">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vertAlign w:val="baseline"/>
              </w:rPr>
            </w:pPr>
          </w:p>
        </w:tc>
      </w:tr>
      <w:tr w14:paraId="7F8A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5" w:type="dxa"/>
            <w:gridSpan w:val="6"/>
            <w:noWrap w:val="0"/>
            <w:vAlign w:val="center"/>
          </w:tcPr>
          <w:p w14:paraId="198416AE">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等线" w:eastAsia="仿宋_GB2312" w:cs="仿宋_GB2312"/>
                <w:i w:val="0"/>
                <w:iCs w:val="0"/>
                <w:color w:val="auto"/>
                <w:kern w:val="0"/>
                <w:sz w:val="22"/>
                <w:szCs w:val="22"/>
                <w:u w:val="none"/>
                <w:lang w:val="en-US" w:eastAsia="zh-CN" w:bidi="ar"/>
              </w:rPr>
              <w:t>备注：以上评分除去不可抗力因素的影响。</w:t>
            </w:r>
          </w:p>
        </w:tc>
      </w:tr>
    </w:tbl>
    <w:p w14:paraId="4DCB4C57">
      <w:pPr>
        <w:keepNext w:val="0"/>
        <w:keepLines w:val="0"/>
        <w:widowControl/>
        <w:suppressLineNumbers w:val="0"/>
        <w:ind w:firstLine="1320" w:firstLineChars="600"/>
        <w:jc w:val="left"/>
        <w:textAlignment w:val="center"/>
        <w:rPr>
          <w:rFonts w:hint="default"/>
          <w:lang w:val="en-US" w:eastAsia="zh-CN"/>
        </w:rPr>
      </w:pPr>
      <w:r>
        <w:rPr>
          <w:rFonts w:hint="eastAsia" w:ascii="仿宋_GB2312" w:hAnsi="等线" w:eastAsia="仿宋_GB2312" w:cs="仿宋_GB2312"/>
          <w:i w:val="0"/>
          <w:iCs w:val="0"/>
          <w:color w:val="auto"/>
          <w:kern w:val="0"/>
          <w:sz w:val="22"/>
          <w:szCs w:val="22"/>
          <w:u w:val="none"/>
          <w:lang w:val="en-US" w:eastAsia="zh-CN" w:bidi="ar"/>
        </w:rPr>
        <w:t>考核日期：    年  月  日            检查人员：                    运维公司代表签字：</w:t>
      </w:r>
    </w:p>
    <w:p w14:paraId="5D9B97A1">
      <w:pPr>
        <w:pStyle w:val="2"/>
        <w:rPr>
          <w:rFonts w:hint="eastAsia"/>
          <w:lang w:val="en-US" w:eastAsia="zh-CN"/>
        </w:rPr>
        <w:sectPr>
          <w:pgSz w:w="16840" w:h="11910" w:orient="landscape"/>
          <w:pgMar w:top="1162" w:right="1162" w:bottom="1162" w:left="1162" w:header="768" w:footer="624" w:gutter="0"/>
          <w:pgNumType w:fmt="decimal" w:start="1"/>
          <w:cols w:space="720" w:num="1"/>
          <w:titlePg/>
        </w:sectPr>
      </w:pPr>
    </w:p>
    <w:p w14:paraId="28AB8889">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7B4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D3734">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D5D3734">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7CCD7">
    <w:pPr>
      <w:pStyle w:val="5"/>
      <w:framePr w:wrap="around" w:vAnchor="text" w:hAnchor="margin" w:xAlign="center" w:y="1"/>
      <w:rPr>
        <w:rStyle w:val="9"/>
      </w:rPr>
    </w:pPr>
    <w:r>
      <w:fldChar w:fldCharType="begin"/>
    </w:r>
    <w:r>
      <w:rPr>
        <w:rStyle w:val="9"/>
      </w:rPr>
      <w:instrText xml:space="preserve">PAGE  </w:instrText>
    </w:r>
    <w:r>
      <w:fldChar w:fldCharType="end"/>
    </w:r>
  </w:p>
  <w:p w14:paraId="79DB3C3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DB56B">
    <w:pPr>
      <w:pStyle w:val="5"/>
      <w:ind w:firstLine="5040" w:firstLineChars="2800"/>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CB945">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99CB945">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580C3"/>
    <w:multiLevelType w:val="singleLevel"/>
    <w:tmpl w:val="59B580C3"/>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C6D49"/>
    <w:rsid w:val="5D2C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39"/>
      <w:ind w:right="57"/>
      <w:jc w:val="center"/>
      <w:outlineLvl w:val="0"/>
    </w:pPr>
    <w:rPr>
      <w:rFonts w:ascii="黑体" w:hAnsi="黑体" w:eastAsia="黑体" w:cs="黑体"/>
      <w:b/>
      <w:bCs/>
      <w:sz w:val="32"/>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4">
    <w:name w:val="Normal Indent"/>
    <w:basedOn w:val="1"/>
    <w:qFormat/>
    <w:uiPriority w:val="0"/>
    <w:pPr>
      <w:ind w:firstLine="420"/>
    </w:pPr>
    <w:rPr>
      <w:szCs w:val="20"/>
    </w:rPr>
  </w:style>
  <w:style w:type="paragraph" w:styleId="5">
    <w:name w:val="footer"/>
    <w:basedOn w:val="1"/>
    <w:qFormat/>
    <w:uiPriority w:val="99"/>
    <w:pPr>
      <w:tabs>
        <w:tab w:val="center" w:pos="4153"/>
        <w:tab w:val="right" w:pos="8306"/>
      </w:tabs>
      <w:snapToGrid w:val="0"/>
    </w:pPr>
    <w:rPr>
      <w:rFonts w:ascii="宋体" w:hAnsi="宋体" w:eastAsia="宋体"/>
      <w:sz w:val="21"/>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paragraph" w:customStyle="1" w:styleId="11">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2025-05-06T02:56:00Z</dcterms:created>
  <dc:creator>Administrator</dc:creator>
  <cp:lastModifiedBy>Administrator</cp:lastModifiedBy>
  <dcterms:modified xsi:type="dcterms:W3CDTF">2025-05-06T02:56:43Z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28204368895B4E35B967677A69CF050B_11</vt:lpwstr>
  </property>
  <property fmtid="{D5CDD505-2E9C-101B-9397-08002B2CF9AE}" pid="4" name="KSOTemplateDocerSaveRecord">
    <vt:lpwstr>eyJoZGlkIjoiNjFjNTE3MDNlYTVkZjIyMjBkOTRhNmUxNGYyMDk1YjQiLCJ1c2VySWQiOiIzMzk0MTc1ODUifQ==</vt:lpwstr>
  </property>
</Properties>
</file>